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480" w:lineRule="auto"/>
        <w:ind w:left="-199" w:leftChars="-95" w:right="-313" w:rightChars="-149" w:firstLine="168" w:firstLineChars="38"/>
        <w:jc w:val="center"/>
        <w:rPr>
          <w:rFonts w:hint="eastAsia" w:ascii="宋体" w:hAnsi="宋体" w:cs="宋体"/>
          <w:b/>
          <w:bCs/>
          <w:color w:val="auto"/>
          <w:sz w:val="44"/>
          <w:szCs w:val="44"/>
          <w:highlight w:val="none"/>
          <w:lang w:eastAsia="zh-CN"/>
        </w:rPr>
      </w:pPr>
      <w:bookmarkStart w:id="0" w:name="OLE_LINK1"/>
    </w:p>
    <w:p>
      <w:pPr>
        <w:spacing w:line="480" w:lineRule="auto"/>
        <w:ind w:left="-199" w:leftChars="-95" w:right="-313" w:rightChars="-149" w:firstLine="168" w:firstLineChars="38"/>
        <w:jc w:val="center"/>
        <w:rPr>
          <w:rFonts w:hint="eastAsia" w:ascii="宋体" w:hAnsi="宋体" w:eastAsia="宋体" w:cs="宋体"/>
          <w:b/>
          <w:bCs/>
          <w:color w:val="auto"/>
          <w:sz w:val="44"/>
          <w:szCs w:val="44"/>
          <w:highlight w:val="none"/>
          <w:lang w:eastAsia="zh-CN"/>
        </w:rPr>
      </w:pPr>
      <w:bookmarkStart w:id="1" w:name="OLE_LINK16"/>
      <w:r>
        <w:rPr>
          <w:rFonts w:hint="eastAsia" w:ascii="宋体" w:hAnsi="宋体" w:cs="宋体"/>
          <w:b/>
          <w:bCs/>
          <w:color w:val="auto"/>
          <w:sz w:val="44"/>
          <w:szCs w:val="44"/>
          <w:highlight w:val="none"/>
          <w:lang w:val="en-US" w:eastAsia="zh-CN"/>
        </w:rPr>
        <w:t>舟山市第二人民医院光伏发电建设</w:t>
      </w:r>
      <w:r>
        <w:rPr>
          <w:rFonts w:hint="eastAsia" w:ascii="宋体" w:hAnsi="宋体" w:cs="宋体"/>
          <w:b/>
          <w:bCs/>
          <w:color w:val="auto"/>
          <w:sz w:val="44"/>
          <w:szCs w:val="44"/>
          <w:highlight w:val="none"/>
          <w:lang w:eastAsia="zh-CN"/>
        </w:rPr>
        <w:t>项目</w:t>
      </w:r>
      <w:bookmarkEnd w:id="1"/>
    </w:p>
    <w:p>
      <w:pPr>
        <w:spacing w:line="480" w:lineRule="auto"/>
        <w:ind w:left="-199" w:leftChars="-95" w:right="-313" w:rightChars="-149" w:firstLine="198" w:firstLineChars="38"/>
        <w:rPr>
          <w:rFonts w:hint="eastAsia" w:ascii="宋体" w:hAnsi="宋体" w:cs="宋体"/>
          <w:b/>
          <w:bCs/>
          <w:color w:val="auto"/>
          <w:sz w:val="52"/>
          <w:szCs w:val="52"/>
          <w:highlight w:val="none"/>
        </w:rPr>
      </w:pPr>
    </w:p>
    <w:p>
      <w:pPr>
        <w:spacing w:line="480" w:lineRule="auto"/>
        <w:ind w:left="-199" w:leftChars="-95" w:right="-313" w:rightChars="-149" w:firstLine="198" w:firstLineChars="38"/>
        <w:jc w:val="center"/>
        <w:rPr>
          <w:rFonts w:hint="eastAsia" w:ascii="宋体" w:hAnsi="宋体" w:cs="宋体"/>
          <w:b/>
          <w:bCs/>
          <w:color w:val="auto"/>
          <w:sz w:val="52"/>
          <w:szCs w:val="52"/>
          <w:highlight w:val="none"/>
        </w:rPr>
      </w:pPr>
    </w:p>
    <w:p>
      <w:pPr>
        <w:spacing w:line="480" w:lineRule="auto"/>
        <w:ind w:left="-199" w:leftChars="-95" w:right="-313" w:rightChars="-149" w:firstLine="198" w:firstLineChars="38"/>
        <w:jc w:val="center"/>
        <w:rPr>
          <w:rFonts w:hint="eastAsia" w:ascii="宋体" w:hAnsi="宋体" w:cs="宋体"/>
          <w:b/>
          <w:bCs/>
          <w:color w:val="auto"/>
          <w:sz w:val="52"/>
          <w:szCs w:val="52"/>
          <w:highlight w:val="none"/>
        </w:rPr>
      </w:pPr>
      <w:r>
        <w:rPr>
          <w:rFonts w:hint="eastAsia" w:ascii="宋体" w:hAnsi="宋体" w:cs="宋体"/>
          <w:b/>
          <w:bCs/>
          <w:color w:val="auto"/>
          <w:sz w:val="52"/>
          <w:szCs w:val="52"/>
          <w:highlight w:val="none"/>
        </w:rPr>
        <w:t xml:space="preserve"> </w:t>
      </w:r>
      <w:r>
        <w:rPr>
          <w:rFonts w:hint="eastAsia" w:ascii="宋体" w:hAnsi="宋体" w:cs="宋体"/>
          <w:b/>
          <w:bCs/>
          <w:color w:val="auto"/>
          <w:sz w:val="52"/>
          <w:szCs w:val="52"/>
          <w:highlight w:val="none"/>
          <w:lang w:val="en-US" w:eastAsia="zh-CN"/>
        </w:rPr>
        <w:t>竞争性磋商</w:t>
      </w:r>
      <w:r>
        <w:rPr>
          <w:rFonts w:hint="eastAsia" w:ascii="宋体" w:hAnsi="宋体" w:cs="宋体"/>
          <w:b/>
          <w:bCs/>
          <w:color w:val="auto"/>
          <w:sz w:val="52"/>
          <w:szCs w:val="52"/>
          <w:highlight w:val="none"/>
        </w:rPr>
        <w:t>文件</w:t>
      </w:r>
    </w:p>
    <w:p>
      <w:pPr>
        <w:spacing w:line="600" w:lineRule="auto"/>
        <w:jc w:val="center"/>
        <w:rPr>
          <w:rFonts w:hint="eastAsia" w:ascii="宋体" w:hAnsi="宋体" w:cs="宋体"/>
          <w:color w:val="auto"/>
          <w:sz w:val="28"/>
          <w:szCs w:val="28"/>
          <w:highlight w:val="none"/>
        </w:rPr>
      </w:pPr>
      <w:r>
        <w:rPr>
          <w:rFonts w:hint="eastAsia" w:ascii="宋体" w:hAnsi="宋体" w:cs="宋体"/>
          <w:bCs/>
          <w:color w:val="auto"/>
          <w:sz w:val="28"/>
          <w:szCs w:val="28"/>
          <w:highlight w:val="none"/>
          <w:lang w:val="en-US" w:eastAsia="zh-CN"/>
        </w:rPr>
        <w:t xml:space="preserve">   </w:t>
      </w:r>
      <w:r>
        <w:rPr>
          <w:rFonts w:hint="eastAsia" w:ascii="宋体" w:hAnsi="宋体" w:cs="宋体"/>
          <w:bCs/>
          <w:color w:val="auto"/>
          <w:sz w:val="28"/>
          <w:szCs w:val="28"/>
          <w:highlight w:val="none"/>
        </w:rPr>
        <w:t>项目编号：</w:t>
      </w:r>
      <w:r>
        <w:rPr>
          <w:rFonts w:hint="eastAsia" w:ascii="宋体" w:hAnsi="宋体" w:cs="宋体"/>
          <w:bCs/>
          <w:color w:val="auto"/>
          <w:sz w:val="28"/>
          <w:szCs w:val="28"/>
          <w:highlight w:val="none"/>
          <w:u w:val="single"/>
        </w:rPr>
        <w:t xml:space="preserve">EYCG-Z.F.C-2025-019 </w:t>
      </w:r>
    </w:p>
    <w:p>
      <w:pPr>
        <w:spacing w:line="360" w:lineRule="auto"/>
        <w:ind w:left="1840" w:leftChars="-57" w:right="-313" w:rightChars="-149" w:hanging="1960" w:hangingChars="700"/>
        <w:rPr>
          <w:rFonts w:hint="eastAsia" w:ascii="宋体" w:hAnsi="宋体" w:cs="宋体"/>
          <w:color w:val="auto"/>
          <w:sz w:val="28"/>
          <w:szCs w:val="28"/>
          <w:highlight w:val="none"/>
        </w:rPr>
      </w:pPr>
    </w:p>
    <w:p>
      <w:pPr>
        <w:spacing w:line="360" w:lineRule="auto"/>
        <w:ind w:left="1840" w:leftChars="-57" w:right="-313" w:rightChars="-149" w:hanging="1960" w:hangingChars="700"/>
        <w:rPr>
          <w:rFonts w:hint="eastAsia" w:ascii="宋体" w:hAnsi="宋体" w:cs="宋体"/>
          <w:color w:val="auto"/>
          <w:sz w:val="28"/>
          <w:szCs w:val="28"/>
          <w:highlight w:val="none"/>
        </w:rPr>
      </w:pPr>
    </w:p>
    <w:p>
      <w:pPr>
        <w:spacing w:line="360" w:lineRule="auto"/>
        <w:ind w:left="1840" w:leftChars="-57" w:right="-313" w:rightChars="-149" w:hanging="1960" w:hangingChars="700"/>
        <w:rPr>
          <w:rFonts w:hint="eastAsia" w:ascii="宋体" w:hAnsi="宋体" w:cs="宋体"/>
          <w:color w:val="auto"/>
          <w:sz w:val="28"/>
          <w:szCs w:val="28"/>
          <w:highlight w:val="none"/>
        </w:rPr>
      </w:pPr>
    </w:p>
    <w:p>
      <w:pPr>
        <w:spacing w:line="360" w:lineRule="auto"/>
        <w:ind w:left="1840" w:leftChars="-57" w:right="-313" w:rightChars="-149" w:hanging="1960" w:hangingChars="700"/>
        <w:rPr>
          <w:rFonts w:hint="eastAsia" w:ascii="宋体" w:hAnsi="宋体" w:cs="宋体"/>
          <w:color w:val="auto"/>
          <w:sz w:val="28"/>
          <w:szCs w:val="28"/>
          <w:highlight w:val="none"/>
        </w:rPr>
      </w:pPr>
      <w:r>
        <w:rPr>
          <w:rFonts w:hint="eastAsia" w:ascii="宋体" w:hAnsi="宋体" w:cs="宋体"/>
          <w:color w:val="auto"/>
          <w:sz w:val="28"/>
          <w:szCs w:val="28"/>
          <w:highlight w:val="none"/>
        </w:rPr>
        <w:t xml:space="preserve"> </w:t>
      </w:r>
    </w:p>
    <w:p>
      <w:pPr>
        <w:spacing w:line="360" w:lineRule="auto"/>
        <w:ind w:left="1840" w:leftChars="-57" w:right="-313" w:rightChars="-149" w:hanging="1960" w:hangingChars="700"/>
        <w:rPr>
          <w:rFonts w:hint="eastAsia" w:ascii="宋体" w:hAnsi="宋体" w:cs="宋体"/>
          <w:color w:val="auto"/>
          <w:sz w:val="28"/>
          <w:szCs w:val="28"/>
          <w:highlight w:val="none"/>
        </w:rPr>
      </w:pPr>
    </w:p>
    <w:p>
      <w:pPr>
        <w:spacing w:line="360" w:lineRule="auto"/>
        <w:ind w:right="-313" w:rightChars="-149" w:firstLine="320" w:firstLineChars="100"/>
        <w:rPr>
          <w:rFonts w:hint="eastAsia" w:ascii="宋体" w:hAnsi="宋体" w:eastAsia="宋体" w:cs="宋体"/>
          <w:bCs/>
          <w:color w:val="auto"/>
          <w:sz w:val="32"/>
          <w:szCs w:val="32"/>
          <w:highlight w:val="none"/>
          <w:u w:val="single"/>
        </w:rPr>
      </w:pPr>
      <w:r>
        <w:rPr>
          <w:rFonts w:hint="eastAsia" w:ascii="宋体" w:hAnsi="宋体" w:eastAsia="宋体" w:cs="宋体"/>
          <w:color w:val="auto"/>
          <w:sz w:val="32"/>
          <w:szCs w:val="32"/>
          <w:highlight w:val="none"/>
        </w:rPr>
        <w:t>项目名称：</w:t>
      </w:r>
      <w:r>
        <w:rPr>
          <w:rFonts w:hint="eastAsia" w:ascii="宋体" w:hAnsi="宋体" w:eastAsia="宋体" w:cs="宋体"/>
          <w:color w:val="auto"/>
          <w:sz w:val="32"/>
          <w:szCs w:val="32"/>
          <w:highlight w:val="none"/>
          <w:u w:val="single"/>
          <w:lang w:val="en-US" w:eastAsia="zh-CN"/>
        </w:rPr>
        <w:t>舟山市第二人民医院光伏发电建设</w:t>
      </w:r>
      <w:r>
        <w:rPr>
          <w:rFonts w:hint="eastAsia" w:ascii="宋体" w:hAnsi="宋体" w:eastAsia="宋体" w:cs="宋体"/>
          <w:color w:val="auto"/>
          <w:sz w:val="32"/>
          <w:szCs w:val="32"/>
          <w:highlight w:val="none"/>
          <w:u w:val="single"/>
          <w:lang w:eastAsia="zh-CN"/>
        </w:rPr>
        <w:t>项目</w:t>
      </w:r>
    </w:p>
    <w:p>
      <w:pPr>
        <w:spacing w:line="360" w:lineRule="auto"/>
        <w:ind w:firstLine="320" w:firstLineChars="100"/>
        <w:rPr>
          <w:rFonts w:hint="eastAsia" w:ascii="宋体" w:hAnsi="宋体" w:eastAsia="宋体" w:cs="宋体"/>
          <w:bCs/>
          <w:color w:val="auto"/>
          <w:sz w:val="32"/>
          <w:szCs w:val="32"/>
          <w:highlight w:val="none"/>
          <w:u w:val="single"/>
          <w:lang w:eastAsia="zh-CN"/>
        </w:rPr>
      </w:pPr>
      <w:r>
        <w:rPr>
          <w:rFonts w:hint="eastAsia" w:ascii="宋体" w:hAnsi="宋体" w:eastAsia="宋体" w:cs="宋体"/>
          <w:color w:val="auto"/>
          <w:sz w:val="32"/>
          <w:szCs w:val="32"/>
          <w:highlight w:val="none"/>
        </w:rPr>
        <w:t>采购单位：</w:t>
      </w:r>
      <w:r>
        <w:rPr>
          <w:rFonts w:hint="eastAsia" w:ascii="宋体" w:hAnsi="宋体" w:eastAsia="宋体" w:cs="宋体"/>
          <w:bCs/>
          <w:color w:val="auto"/>
          <w:sz w:val="32"/>
          <w:szCs w:val="32"/>
          <w:highlight w:val="none"/>
          <w:u w:val="single"/>
          <w:lang w:eastAsia="zh-CN"/>
        </w:rPr>
        <w:t>舟山市</w:t>
      </w:r>
      <w:r>
        <w:rPr>
          <w:rFonts w:hint="eastAsia" w:ascii="宋体" w:hAnsi="宋体" w:cs="宋体"/>
          <w:bCs/>
          <w:color w:val="auto"/>
          <w:sz w:val="32"/>
          <w:szCs w:val="32"/>
          <w:highlight w:val="none"/>
          <w:u w:val="single"/>
          <w:lang w:val="en-US" w:eastAsia="zh-CN"/>
        </w:rPr>
        <w:t>第二人民医院</w:t>
      </w:r>
    </w:p>
    <w:p>
      <w:pPr>
        <w:spacing w:line="360" w:lineRule="auto"/>
        <w:ind w:firstLine="320" w:firstLineChars="100"/>
        <w:jc w:val="left"/>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日    期：</w:t>
      </w:r>
      <w:r>
        <w:rPr>
          <w:rFonts w:hint="eastAsia" w:ascii="宋体" w:hAnsi="宋体" w:cs="宋体"/>
          <w:color w:val="auto"/>
          <w:sz w:val="32"/>
          <w:szCs w:val="32"/>
          <w:highlight w:val="none"/>
          <w:u w:val="single"/>
        </w:rPr>
        <w:t>二〇二</w:t>
      </w:r>
      <w:r>
        <w:rPr>
          <w:rFonts w:hint="eastAsia" w:ascii="宋体" w:hAnsi="宋体" w:cs="宋体"/>
          <w:color w:val="auto"/>
          <w:sz w:val="32"/>
          <w:szCs w:val="32"/>
          <w:highlight w:val="none"/>
          <w:u w:val="single"/>
          <w:lang w:val="en-US" w:eastAsia="zh-CN"/>
        </w:rPr>
        <w:t>五</w:t>
      </w:r>
      <w:r>
        <w:rPr>
          <w:rFonts w:hint="eastAsia" w:ascii="宋体" w:hAnsi="宋体" w:eastAsia="宋体" w:cs="宋体"/>
          <w:color w:val="auto"/>
          <w:sz w:val="32"/>
          <w:szCs w:val="32"/>
          <w:highlight w:val="none"/>
          <w:u w:val="single"/>
          <w:lang w:val="en-US" w:eastAsia="zh-CN"/>
        </w:rPr>
        <w:t>年五</w:t>
      </w:r>
      <w:r>
        <w:rPr>
          <w:rFonts w:hint="eastAsia" w:ascii="宋体" w:hAnsi="宋体" w:cs="宋体"/>
          <w:color w:val="auto"/>
          <w:sz w:val="32"/>
          <w:szCs w:val="32"/>
          <w:highlight w:val="none"/>
          <w:u w:val="single"/>
        </w:rPr>
        <w:t>月</w:t>
      </w:r>
    </w:p>
    <w:p>
      <w:pPr>
        <w:pStyle w:val="16"/>
        <w:spacing w:before="120" w:line="520" w:lineRule="exact"/>
        <w:jc w:val="center"/>
        <w:rPr>
          <w:rFonts w:hint="eastAsia" w:ascii="创艺简标宋" w:hAnsi="宋体" w:eastAsia="创艺简标宋"/>
          <w:color w:val="auto"/>
          <w:sz w:val="24"/>
          <w:szCs w:val="24"/>
          <w:highlight w:val="none"/>
        </w:rPr>
      </w:pPr>
      <w:r>
        <w:rPr>
          <w:rFonts w:hint="eastAsia" w:ascii="创艺简标宋" w:hAnsi="宋体" w:eastAsia="创艺简标宋"/>
          <w:color w:val="auto"/>
          <w:sz w:val="24"/>
          <w:szCs w:val="24"/>
          <w:highlight w:val="none"/>
        </w:rPr>
        <w:br w:type="page"/>
      </w:r>
    </w:p>
    <w:p>
      <w:pPr>
        <w:pStyle w:val="16"/>
        <w:spacing w:before="120" w:line="5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目录</w:t>
      </w:r>
    </w:p>
    <w:p>
      <w:pPr>
        <w:widowControl/>
        <w:numPr>
          <w:ilvl w:val="0"/>
          <w:numId w:val="6"/>
        </w:numPr>
        <w:tabs>
          <w:tab w:val="left" w:pos="1440"/>
        </w:tabs>
        <w:overflowPunct w:val="0"/>
        <w:autoSpaceDE w:val="0"/>
        <w:autoSpaceDN w:val="0"/>
        <w:adjustRightInd w:val="0"/>
        <w:spacing w:before="120" w:beforeLines="50" w:line="520" w:lineRule="exact"/>
        <w:textAlignment w:val="baseline"/>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竞争性磋商</w:t>
      </w:r>
      <w:r>
        <w:rPr>
          <w:rFonts w:hint="eastAsia" w:ascii="宋体" w:hAnsi="宋体" w:eastAsia="宋体" w:cs="宋体"/>
          <w:color w:val="auto"/>
          <w:sz w:val="24"/>
          <w:szCs w:val="24"/>
          <w:highlight w:val="none"/>
        </w:rPr>
        <w:t>公告</w:t>
      </w:r>
    </w:p>
    <w:p>
      <w:pPr>
        <w:widowControl/>
        <w:numPr>
          <w:ilvl w:val="0"/>
          <w:numId w:val="6"/>
        </w:numPr>
        <w:tabs>
          <w:tab w:val="left" w:pos="1440"/>
        </w:tabs>
        <w:overflowPunct w:val="0"/>
        <w:autoSpaceDE w:val="0"/>
        <w:autoSpaceDN w:val="0"/>
        <w:adjustRightInd w:val="0"/>
        <w:spacing w:before="120" w:beforeLines="50" w:line="520" w:lineRule="exact"/>
        <w:textAlignment w:val="baseline"/>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采购</w:t>
      </w:r>
      <w:r>
        <w:rPr>
          <w:rFonts w:hint="eastAsia" w:ascii="宋体" w:hAnsi="宋体" w:eastAsia="宋体" w:cs="宋体"/>
          <w:color w:val="auto"/>
          <w:sz w:val="24"/>
          <w:szCs w:val="24"/>
          <w:highlight w:val="none"/>
        </w:rPr>
        <w:t>需求</w:t>
      </w:r>
    </w:p>
    <w:p>
      <w:pPr>
        <w:widowControl/>
        <w:numPr>
          <w:ilvl w:val="0"/>
          <w:numId w:val="6"/>
        </w:numPr>
        <w:tabs>
          <w:tab w:val="left" w:pos="1440"/>
        </w:tabs>
        <w:overflowPunct w:val="0"/>
        <w:autoSpaceDE w:val="0"/>
        <w:autoSpaceDN w:val="0"/>
        <w:adjustRightInd w:val="0"/>
        <w:spacing w:before="120" w:beforeLines="50" w:line="520" w:lineRule="exact"/>
        <w:textAlignment w:val="baseline"/>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须知</w:t>
      </w:r>
    </w:p>
    <w:p>
      <w:pPr>
        <w:widowControl/>
        <w:numPr>
          <w:ilvl w:val="0"/>
          <w:numId w:val="6"/>
        </w:numPr>
        <w:tabs>
          <w:tab w:val="left" w:pos="1440"/>
        </w:tabs>
        <w:overflowPunct w:val="0"/>
        <w:autoSpaceDE w:val="0"/>
        <w:autoSpaceDN w:val="0"/>
        <w:adjustRightInd w:val="0"/>
        <w:spacing w:before="120" w:beforeLines="50" w:line="520" w:lineRule="exact"/>
        <w:textAlignment w:val="baseline"/>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磋商</w:t>
      </w:r>
      <w:r>
        <w:rPr>
          <w:rFonts w:hint="eastAsia" w:ascii="宋体" w:hAnsi="宋体" w:eastAsia="宋体" w:cs="宋体"/>
          <w:color w:val="auto"/>
          <w:sz w:val="24"/>
          <w:szCs w:val="24"/>
          <w:highlight w:val="none"/>
        </w:rPr>
        <w:t>办法及</w:t>
      </w:r>
      <w:r>
        <w:rPr>
          <w:rFonts w:hint="eastAsia" w:ascii="宋体" w:hAnsi="宋体" w:cs="宋体"/>
          <w:color w:val="auto"/>
          <w:sz w:val="24"/>
          <w:szCs w:val="24"/>
          <w:highlight w:val="none"/>
          <w:lang w:val="en-US" w:eastAsia="zh-CN"/>
        </w:rPr>
        <w:t>磋商</w:t>
      </w:r>
      <w:r>
        <w:rPr>
          <w:rFonts w:hint="eastAsia" w:ascii="宋体" w:hAnsi="宋体" w:eastAsia="宋体" w:cs="宋体"/>
          <w:color w:val="auto"/>
          <w:sz w:val="24"/>
          <w:szCs w:val="24"/>
          <w:highlight w:val="none"/>
        </w:rPr>
        <w:t>标准</w:t>
      </w:r>
    </w:p>
    <w:p>
      <w:pPr>
        <w:widowControl/>
        <w:numPr>
          <w:ilvl w:val="0"/>
          <w:numId w:val="6"/>
        </w:numPr>
        <w:tabs>
          <w:tab w:val="left" w:pos="1440"/>
        </w:tabs>
        <w:overflowPunct w:val="0"/>
        <w:autoSpaceDE w:val="0"/>
        <w:autoSpaceDN w:val="0"/>
        <w:adjustRightInd w:val="0"/>
        <w:spacing w:before="120" w:beforeLines="50" w:line="52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合同主要条款</w:t>
      </w:r>
    </w:p>
    <w:p>
      <w:pPr>
        <w:widowControl/>
        <w:overflowPunct w:val="0"/>
        <w:autoSpaceDE w:val="0"/>
        <w:autoSpaceDN w:val="0"/>
        <w:adjustRightInd w:val="0"/>
        <w:spacing w:before="120" w:beforeLines="50" w:line="520" w:lineRule="exact"/>
        <w:ind w:left="165"/>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第六章</w:t>
      </w:r>
      <w:r>
        <w:rPr>
          <w:rFonts w:hint="eastAsia" w:ascii="宋体" w:hAnsi="宋体" w:cs="宋体"/>
          <w:color w:val="auto"/>
          <w:sz w:val="24"/>
          <w:szCs w:val="24"/>
          <w:highlight w:val="none"/>
          <w:lang w:val="en-US" w:eastAsia="zh-CN"/>
        </w:rPr>
        <w:t xml:space="preserve">     磋商响应</w:t>
      </w:r>
      <w:r>
        <w:rPr>
          <w:rFonts w:hint="eastAsia" w:ascii="宋体" w:hAnsi="宋体" w:eastAsia="宋体" w:cs="宋体"/>
          <w:color w:val="auto"/>
          <w:sz w:val="24"/>
          <w:szCs w:val="24"/>
          <w:highlight w:val="none"/>
        </w:rPr>
        <w:t>文件相关格式</w:t>
      </w:r>
    </w:p>
    <w:p>
      <w:pPr>
        <w:pStyle w:val="16"/>
        <w:snapToGrid w:val="0"/>
        <w:spacing w:before="120" w:line="520" w:lineRule="exact"/>
        <w:outlineLvl w:val="0"/>
        <w:rPr>
          <w:rFonts w:hint="eastAsia" w:ascii="宋体" w:hAnsi="宋体" w:eastAsia="宋体" w:cs="宋体"/>
          <w:color w:val="auto"/>
          <w:sz w:val="24"/>
          <w:szCs w:val="24"/>
          <w:highlight w:val="none"/>
        </w:rPr>
      </w:pPr>
    </w:p>
    <w:p>
      <w:pPr>
        <w:snapToGrid w:val="0"/>
        <w:spacing w:before="120" w:line="520" w:lineRule="exact"/>
        <w:jc w:val="center"/>
        <w:outlineLvl w:val="0"/>
        <w:rPr>
          <w:rFonts w:ascii="黑体" w:hAnsi="宋体" w:eastAsia="黑体"/>
          <w:color w:val="auto"/>
          <w:sz w:val="24"/>
          <w:szCs w:val="24"/>
          <w:highlight w:val="none"/>
        </w:rPr>
      </w:pPr>
      <w:r>
        <w:rPr>
          <w:rFonts w:hAnsi="宋体"/>
          <w:color w:val="auto"/>
          <w:sz w:val="24"/>
          <w:szCs w:val="24"/>
          <w:highlight w:val="none"/>
        </w:rPr>
        <w:br w:type="page"/>
      </w:r>
    </w:p>
    <w:p>
      <w:pPr>
        <w:pStyle w:val="16"/>
        <w:snapToGrid w:val="0"/>
        <w:spacing w:before="120" w:line="520" w:lineRule="exact"/>
        <w:jc w:val="center"/>
        <w:outlineLvl w:val="0"/>
        <w:rPr>
          <w:rFonts w:ascii="黑体" w:hAnsi="宋体" w:eastAsia="黑体"/>
          <w:color w:val="auto"/>
          <w:sz w:val="24"/>
          <w:szCs w:val="24"/>
          <w:highlight w:val="none"/>
        </w:rPr>
      </w:pPr>
      <w:r>
        <w:rPr>
          <w:rFonts w:hint="eastAsia" w:ascii="黑体" w:hAnsi="宋体" w:eastAsia="黑体"/>
          <w:color w:val="auto"/>
          <w:sz w:val="24"/>
          <w:szCs w:val="24"/>
          <w:highlight w:val="none"/>
        </w:rPr>
        <w:t xml:space="preserve">第一章  </w:t>
      </w:r>
      <w:r>
        <w:rPr>
          <w:rFonts w:hint="eastAsia" w:ascii="黑体" w:hAnsi="宋体" w:eastAsia="黑体"/>
          <w:color w:val="auto"/>
          <w:sz w:val="24"/>
          <w:szCs w:val="24"/>
          <w:highlight w:val="none"/>
          <w:lang w:val="en-US" w:eastAsia="zh-CN"/>
        </w:rPr>
        <w:t>竞争性磋商</w:t>
      </w:r>
      <w:r>
        <w:rPr>
          <w:rFonts w:hint="eastAsia" w:ascii="黑体" w:hAnsi="宋体" w:eastAsia="黑体"/>
          <w:color w:val="auto"/>
          <w:sz w:val="24"/>
          <w:szCs w:val="24"/>
          <w:highlight w:val="none"/>
        </w:rPr>
        <w:t>公告</w:t>
      </w:r>
    </w:p>
    <w:p>
      <w:pPr>
        <w:keepNext w:val="0"/>
        <w:keepLines w:val="0"/>
        <w:pageBreakBefore w:val="0"/>
        <w:kinsoku/>
        <w:wordWrap/>
        <w:overflowPunct/>
        <w:topLinePunct w:val="0"/>
        <w:autoSpaceDE/>
        <w:autoSpaceDN/>
        <w:bidi w:val="0"/>
        <w:adjustRightInd/>
        <w:snapToGrid/>
        <w:spacing w:before="120" w:beforeLines="50" w:line="420" w:lineRule="exact"/>
        <w:ind w:firstLine="437"/>
        <w:jc w:val="left"/>
        <w:textAlignment w:val="auto"/>
        <w:rPr>
          <w:rFonts w:ascii="宋体" w:hAnsi="宋体"/>
          <w:color w:val="auto"/>
          <w:sz w:val="24"/>
          <w:szCs w:val="24"/>
          <w:highlight w:val="none"/>
        </w:rPr>
      </w:pPr>
      <w:r>
        <w:rPr>
          <w:rFonts w:hint="eastAsia" w:ascii="宋体" w:hAnsi="宋体"/>
          <w:color w:val="auto"/>
          <w:sz w:val="24"/>
          <w:szCs w:val="24"/>
          <w:highlight w:val="none"/>
          <w:lang w:val="en-US" w:eastAsia="zh-CN"/>
        </w:rPr>
        <w:t>根据舟山市第二人民医院《物资与服务招议标采购管理制度》规定</w:t>
      </w: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就</w:t>
      </w:r>
      <w:r>
        <w:rPr>
          <w:rFonts w:hint="eastAsia" w:ascii="宋体" w:hAnsi="宋体"/>
          <w:color w:val="auto"/>
          <w:sz w:val="24"/>
          <w:szCs w:val="24"/>
          <w:highlight w:val="none"/>
          <w:u w:val="single"/>
          <w:lang w:val="en-US" w:eastAsia="zh-CN"/>
        </w:rPr>
        <w:t>舟山市第二人民医院光伏发电建设项目</w:t>
      </w:r>
      <w:r>
        <w:rPr>
          <w:rFonts w:hint="eastAsia" w:ascii="宋体" w:hAnsi="宋体"/>
          <w:color w:val="auto"/>
          <w:sz w:val="24"/>
          <w:szCs w:val="24"/>
          <w:highlight w:val="none"/>
          <w:lang w:val="en-US" w:eastAsia="zh-CN"/>
        </w:rPr>
        <w:t>实施公开自行采购</w:t>
      </w:r>
      <w:r>
        <w:rPr>
          <w:rFonts w:hint="eastAsia" w:ascii="宋体" w:hAnsi="宋体"/>
          <w:color w:val="auto"/>
          <w:sz w:val="24"/>
          <w:szCs w:val="24"/>
          <w:highlight w:val="none"/>
        </w:rPr>
        <w:t>，欢迎符合要求的投标人前来投标。</w:t>
      </w:r>
    </w:p>
    <w:p>
      <w:pPr>
        <w:keepNext w:val="0"/>
        <w:keepLines w:val="0"/>
        <w:pageBreakBefore w:val="0"/>
        <w:kinsoku/>
        <w:wordWrap/>
        <w:overflowPunct/>
        <w:topLinePunct w:val="0"/>
        <w:autoSpaceDE/>
        <w:autoSpaceDN/>
        <w:bidi w:val="0"/>
        <w:adjustRightInd/>
        <w:snapToGrid/>
        <w:spacing w:before="120" w:beforeLines="50" w:line="420" w:lineRule="exact"/>
        <w:ind w:firstLine="437"/>
        <w:jc w:val="left"/>
        <w:textAlignment w:val="auto"/>
        <w:rPr>
          <w:rFonts w:hint="eastAsia" w:ascii="宋体" w:hAnsi="宋体"/>
          <w:color w:val="auto"/>
          <w:sz w:val="24"/>
          <w:szCs w:val="24"/>
          <w:highlight w:val="none"/>
          <w:lang w:eastAsia="zh-CN"/>
        </w:rPr>
      </w:pPr>
      <w:r>
        <w:rPr>
          <w:rFonts w:hint="eastAsia" w:ascii="宋体" w:hAnsi="宋体"/>
          <w:b/>
          <w:color w:val="auto"/>
          <w:sz w:val="24"/>
          <w:szCs w:val="24"/>
          <w:highlight w:val="none"/>
          <w:lang w:val="en-US" w:eastAsia="zh-CN"/>
        </w:rPr>
        <w:t>一</w:t>
      </w:r>
      <w:r>
        <w:rPr>
          <w:rFonts w:hint="eastAsia" w:ascii="宋体" w:hAnsi="宋体"/>
          <w:b/>
          <w:color w:val="auto"/>
          <w:sz w:val="24"/>
          <w:szCs w:val="24"/>
          <w:highlight w:val="none"/>
        </w:rPr>
        <w:t>、项目名称</w:t>
      </w: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舟山市第二人民医院光伏发电建设</w:t>
      </w:r>
      <w:r>
        <w:rPr>
          <w:rFonts w:hint="eastAsia" w:ascii="宋体" w:hAnsi="宋体"/>
          <w:color w:val="auto"/>
          <w:sz w:val="24"/>
          <w:szCs w:val="24"/>
          <w:highlight w:val="none"/>
          <w:lang w:eastAsia="zh-CN"/>
        </w:rPr>
        <w:t>项目</w:t>
      </w:r>
    </w:p>
    <w:p>
      <w:pPr>
        <w:keepNext w:val="0"/>
        <w:keepLines w:val="0"/>
        <w:pageBreakBefore w:val="0"/>
        <w:kinsoku/>
        <w:wordWrap/>
        <w:overflowPunct/>
        <w:topLinePunct w:val="0"/>
        <w:autoSpaceDE/>
        <w:autoSpaceDN/>
        <w:bidi w:val="0"/>
        <w:adjustRightInd/>
        <w:snapToGrid/>
        <w:spacing w:before="120" w:beforeLines="50" w:line="420" w:lineRule="exact"/>
        <w:ind w:firstLine="437"/>
        <w:jc w:val="left"/>
        <w:textAlignment w:val="auto"/>
        <w:rPr>
          <w:rFonts w:hint="eastAsia" w:ascii="宋体" w:hAnsi="宋体"/>
          <w:color w:val="auto"/>
          <w:sz w:val="24"/>
          <w:szCs w:val="24"/>
          <w:highlight w:val="none"/>
        </w:rPr>
      </w:pP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、项目编号</w:t>
      </w:r>
      <w:r>
        <w:rPr>
          <w:rFonts w:hint="eastAsia" w:ascii="宋体" w:hAnsi="宋体"/>
          <w:color w:val="auto"/>
          <w:sz w:val="24"/>
          <w:szCs w:val="24"/>
          <w:highlight w:val="none"/>
        </w:rPr>
        <w:t>：EYCG-Z.F.C-2025-019</w:t>
      </w:r>
    </w:p>
    <w:p>
      <w:pPr>
        <w:keepNext w:val="0"/>
        <w:keepLines w:val="0"/>
        <w:pageBreakBefore w:val="0"/>
        <w:kinsoku/>
        <w:wordWrap/>
        <w:overflowPunct/>
        <w:topLinePunct w:val="0"/>
        <w:autoSpaceDE/>
        <w:autoSpaceDN/>
        <w:bidi w:val="0"/>
        <w:adjustRightInd/>
        <w:snapToGrid/>
        <w:spacing w:before="120" w:beforeLines="50" w:line="420" w:lineRule="exact"/>
        <w:ind w:firstLine="437"/>
        <w:jc w:val="left"/>
        <w:textAlignment w:val="auto"/>
        <w:rPr>
          <w:rFonts w:hint="eastAsia" w:ascii="宋体" w:hAnsi="宋体" w:eastAsia="宋体"/>
          <w:color w:val="auto"/>
          <w:sz w:val="24"/>
          <w:szCs w:val="24"/>
          <w:highlight w:val="none"/>
          <w:lang w:val="en-US" w:eastAsia="zh-CN"/>
        </w:rPr>
      </w:pPr>
      <w:r>
        <w:rPr>
          <w:rFonts w:hint="eastAsia" w:ascii="宋体" w:hAnsi="宋体"/>
          <w:b/>
          <w:bCs/>
          <w:color w:val="auto"/>
          <w:sz w:val="24"/>
          <w:szCs w:val="24"/>
          <w:highlight w:val="none"/>
          <w:lang w:val="en-US" w:eastAsia="zh-CN"/>
        </w:rPr>
        <w:t>三、采购方式：</w:t>
      </w:r>
      <w:r>
        <w:rPr>
          <w:rFonts w:hint="eastAsia" w:ascii="宋体" w:hAnsi="宋体"/>
          <w:color w:val="auto"/>
          <w:sz w:val="24"/>
          <w:szCs w:val="24"/>
          <w:highlight w:val="none"/>
          <w:lang w:val="en-US" w:eastAsia="zh-CN"/>
        </w:rPr>
        <w:t>自行采购（竞争性磋商）</w:t>
      </w:r>
    </w:p>
    <w:p>
      <w:pPr>
        <w:keepNext w:val="0"/>
        <w:keepLines w:val="0"/>
        <w:pageBreakBefore w:val="0"/>
        <w:kinsoku/>
        <w:wordWrap/>
        <w:overflowPunct/>
        <w:topLinePunct w:val="0"/>
        <w:autoSpaceDE/>
        <w:autoSpaceDN/>
        <w:bidi w:val="0"/>
        <w:adjustRightInd/>
        <w:snapToGrid/>
        <w:spacing w:before="120" w:beforeLines="50" w:line="420" w:lineRule="exact"/>
        <w:ind w:firstLine="437"/>
        <w:jc w:val="left"/>
        <w:textAlignment w:val="auto"/>
        <w:rPr>
          <w:rFonts w:hint="eastAsia" w:ascii="宋体" w:hAnsi="宋体"/>
          <w:color w:val="auto"/>
          <w:sz w:val="24"/>
          <w:szCs w:val="24"/>
          <w:highlight w:val="none"/>
          <w:lang w:val="en-US" w:eastAsia="zh-CN"/>
        </w:rPr>
      </w:pPr>
      <w:r>
        <w:rPr>
          <w:rFonts w:hint="eastAsia" w:ascii="宋体" w:hAnsi="宋体"/>
          <w:b/>
          <w:color w:val="auto"/>
          <w:sz w:val="24"/>
          <w:szCs w:val="24"/>
          <w:highlight w:val="none"/>
        </w:rPr>
        <w:t>四、采购期限：</w:t>
      </w:r>
      <w:r>
        <w:rPr>
          <w:rFonts w:hint="eastAsia" w:ascii="宋体" w:hAnsi="宋体"/>
          <w:color w:val="auto"/>
          <w:sz w:val="24"/>
          <w:szCs w:val="24"/>
          <w:highlight w:val="none"/>
          <w:lang w:val="en-US" w:eastAsia="zh-CN"/>
        </w:rPr>
        <w:t>一期工程施工</w:t>
      </w:r>
      <w:bookmarkStart w:id="2" w:name="OLE_LINK22"/>
      <w:r>
        <w:rPr>
          <w:rFonts w:hint="eastAsia" w:ascii="宋体" w:hAnsi="宋体"/>
          <w:color w:val="auto"/>
          <w:sz w:val="24"/>
          <w:szCs w:val="24"/>
          <w:highlight w:val="none"/>
          <w:lang w:val="en-US" w:eastAsia="zh-CN"/>
        </w:rPr>
        <w:t>工期</w:t>
      </w:r>
      <w:bookmarkEnd w:id="2"/>
      <w:r>
        <w:rPr>
          <w:rFonts w:hint="eastAsia" w:ascii="宋体" w:hAnsi="宋体"/>
          <w:color w:val="auto"/>
          <w:sz w:val="24"/>
          <w:szCs w:val="24"/>
          <w:highlight w:val="none"/>
          <w:lang w:val="en-US" w:eastAsia="zh-CN"/>
        </w:rPr>
        <w:t>：90日历天。总运营期：20年</w:t>
      </w:r>
    </w:p>
    <w:p>
      <w:pPr>
        <w:pStyle w:val="26"/>
        <w:keepNext w:val="0"/>
        <w:keepLines w:val="0"/>
        <w:pageBreakBefore w:val="0"/>
        <w:kinsoku/>
        <w:wordWrap/>
        <w:overflowPunct/>
        <w:topLinePunct w:val="0"/>
        <w:autoSpaceDE/>
        <w:autoSpaceDN/>
        <w:bidi w:val="0"/>
        <w:adjustRightInd/>
        <w:snapToGrid/>
        <w:spacing w:before="0" w:beforeAutospacing="0" w:after="0" w:afterAutospacing="0" w:line="420" w:lineRule="exact"/>
        <w:jc w:val="both"/>
        <w:textAlignment w:val="auto"/>
        <w:rPr>
          <w:rFonts w:hint="eastAsia" w:ascii="宋体" w:hAnsi="宋体"/>
          <w:b/>
          <w:color w:val="auto"/>
          <w:sz w:val="24"/>
          <w:szCs w:val="24"/>
          <w:highlight w:val="none"/>
        </w:rPr>
      </w:pPr>
      <w:r>
        <w:rPr>
          <w:rFonts w:hint="eastAsia"/>
          <w:b/>
          <w:color w:val="auto"/>
          <w:sz w:val="24"/>
          <w:szCs w:val="24"/>
          <w:highlight w:val="none"/>
          <w:lang w:val="en-US" w:eastAsia="zh-CN"/>
        </w:rPr>
        <w:t xml:space="preserve">    </w:t>
      </w:r>
      <w:r>
        <w:rPr>
          <w:rFonts w:hint="eastAsia" w:ascii="宋体" w:hAnsi="宋体"/>
          <w:b/>
          <w:color w:val="auto"/>
          <w:sz w:val="24"/>
          <w:szCs w:val="24"/>
          <w:highlight w:val="none"/>
        </w:rPr>
        <w:t>五、项目概况与</w:t>
      </w:r>
      <w:r>
        <w:rPr>
          <w:rFonts w:hint="eastAsia"/>
          <w:b/>
          <w:color w:val="auto"/>
          <w:sz w:val="24"/>
          <w:szCs w:val="24"/>
          <w:highlight w:val="none"/>
          <w:lang w:val="en-US" w:eastAsia="zh-CN"/>
        </w:rPr>
        <w:t>总体要求</w:t>
      </w:r>
      <w:r>
        <w:rPr>
          <w:rFonts w:hint="eastAsia" w:ascii="宋体" w:hAnsi="宋体"/>
          <w:b/>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20" w:lineRule="exact"/>
        <w:ind w:firstLine="480"/>
        <w:textAlignment w:val="auto"/>
        <w:rPr>
          <w:rFonts w:hint="eastAsia" w:ascii="宋体" w:hAnsi="宋体" w:eastAsia="宋体" w:cs="宋体"/>
          <w:b/>
          <w:bCs/>
          <w:color w:val="auto"/>
          <w:sz w:val="24"/>
          <w:szCs w:val="24"/>
          <w:highlight w:val="none"/>
        </w:rPr>
      </w:pPr>
      <w:r>
        <w:rPr>
          <w:rFonts w:hint="eastAsia" w:ascii="宋体" w:hAnsi="宋体"/>
          <w:b/>
          <w:color w:val="auto"/>
          <w:sz w:val="24"/>
          <w:szCs w:val="24"/>
          <w:highlight w:val="none"/>
          <w:lang w:val="en-US" w:eastAsia="zh-CN"/>
        </w:rPr>
        <w:t>1.</w:t>
      </w:r>
      <w:r>
        <w:rPr>
          <w:rFonts w:hint="eastAsia" w:ascii="宋体" w:hAnsi="宋体"/>
          <w:b/>
          <w:color w:val="auto"/>
          <w:sz w:val="24"/>
          <w:szCs w:val="24"/>
          <w:highlight w:val="none"/>
        </w:rPr>
        <w:t>项目概况</w:t>
      </w:r>
      <w:r>
        <w:rPr>
          <w:rFonts w:hint="eastAsia"/>
          <w:b/>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舟山市第二人民医院光伏发电建设项目地点位于浙江省舟山市定海区新城千岛街道鼓吹山路29号，</w:t>
      </w:r>
      <w:r>
        <w:rPr>
          <w:rFonts w:hint="eastAsia" w:ascii="宋体" w:hAnsi="宋体" w:eastAsia="宋体" w:cs="宋体"/>
          <w:b w:val="0"/>
          <w:bCs w:val="0"/>
          <w:color w:val="auto"/>
          <w:sz w:val="24"/>
          <w:szCs w:val="24"/>
          <w:highlight w:val="none"/>
          <w:lang w:eastAsia="zh-CN"/>
        </w:rPr>
        <w:t>本项目</w:t>
      </w:r>
      <w:r>
        <w:rPr>
          <w:rFonts w:hint="eastAsia" w:ascii="宋体" w:hAnsi="宋体" w:eastAsia="宋体" w:cs="宋体"/>
          <w:b w:val="0"/>
          <w:bCs w:val="0"/>
          <w:color w:val="auto"/>
          <w:sz w:val="24"/>
          <w:szCs w:val="24"/>
          <w:highlight w:val="none"/>
          <w:lang w:val="en-US" w:eastAsia="zh-CN"/>
        </w:rPr>
        <w:t>对</w:t>
      </w:r>
      <w:r>
        <w:rPr>
          <w:rFonts w:hint="eastAsia" w:ascii="宋体" w:hAnsi="宋体" w:eastAsia="宋体" w:cs="宋体"/>
          <w:b w:val="0"/>
          <w:bCs w:val="0"/>
          <w:color w:val="auto"/>
          <w:sz w:val="24"/>
          <w:szCs w:val="24"/>
          <w:highlight w:val="none"/>
          <w:lang w:eastAsia="zh-CN"/>
        </w:rPr>
        <w:t>舟山市</w:t>
      </w:r>
      <w:r>
        <w:rPr>
          <w:rFonts w:hint="eastAsia" w:ascii="宋体" w:hAnsi="宋体" w:eastAsia="宋体" w:cs="宋体"/>
          <w:b w:val="0"/>
          <w:bCs w:val="0"/>
          <w:color w:val="auto"/>
          <w:sz w:val="24"/>
          <w:szCs w:val="24"/>
          <w:highlight w:val="none"/>
          <w:lang w:val="en-US" w:eastAsia="zh-CN"/>
        </w:rPr>
        <w:t>第二人民医院</w:t>
      </w:r>
      <w:r>
        <w:rPr>
          <w:rFonts w:hint="eastAsia" w:ascii="宋体" w:hAnsi="宋体" w:eastAsia="宋体" w:cs="宋体"/>
          <w:b w:val="0"/>
          <w:bCs w:val="0"/>
          <w:color w:val="auto"/>
          <w:sz w:val="24"/>
          <w:szCs w:val="24"/>
          <w:highlight w:val="none"/>
          <w:lang w:eastAsia="zh-CN"/>
        </w:rPr>
        <w:t>光伏备电综合服务</w:t>
      </w:r>
      <w:r>
        <w:rPr>
          <w:rFonts w:hint="eastAsia" w:ascii="宋体" w:hAnsi="宋体" w:eastAsia="宋体" w:cs="宋体"/>
          <w:b w:val="0"/>
          <w:bCs w:val="0"/>
          <w:color w:val="auto"/>
          <w:sz w:val="24"/>
          <w:szCs w:val="24"/>
          <w:highlight w:val="none"/>
          <w:lang w:val="en-US" w:eastAsia="zh-CN"/>
        </w:rPr>
        <w:t>等进行招标</w:t>
      </w:r>
      <w:r>
        <w:rPr>
          <w:rFonts w:hint="eastAsia" w:ascii="宋体" w:hAnsi="宋体" w:eastAsia="宋体" w:cs="宋体"/>
          <w:b w:val="0"/>
          <w:bCs w:val="0"/>
          <w:color w:val="auto"/>
          <w:sz w:val="24"/>
          <w:szCs w:val="24"/>
          <w:highlight w:val="none"/>
          <w:lang w:eastAsia="zh-CN"/>
        </w:rPr>
        <w:t>，提供舟山市</w:t>
      </w:r>
      <w:r>
        <w:rPr>
          <w:rFonts w:hint="eastAsia" w:ascii="宋体" w:hAnsi="宋体" w:eastAsia="宋体" w:cs="宋体"/>
          <w:b w:val="0"/>
          <w:bCs w:val="0"/>
          <w:color w:val="auto"/>
          <w:sz w:val="24"/>
          <w:szCs w:val="24"/>
          <w:highlight w:val="none"/>
          <w:lang w:val="en-US" w:eastAsia="zh-CN"/>
        </w:rPr>
        <w:t>第二人民</w:t>
      </w:r>
      <w:r>
        <w:rPr>
          <w:rFonts w:hint="eastAsia" w:ascii="宋体" w:hAnsi="宋体" w:eastAsia="宋体" w:cs="宋体"/>
          <w:b w:val="0"/>
          <w:bCs w:val="0"/>
          <w:color w:val="auto"/>
          <w:sz w:val="24"/>
          <w:szCs w:val="24"/>
          <w:highlight w:val="none"/>
          <w:lang w:eastAsia="zh-CN"/>
        </w:rPr>
        <w:t>医院太阳能发电。项目</w:t>
      </w:r>
      <w:r>
        <w:rPr>
          <w:rFonts w:hint="eastAsia" w:ascii="宋体" w:hAnsi="宋体" w:eastAsia="宋体" w:cs="宋体"/>
          <w:b w:val="0"/>
          <w:bCs w:val="0"/>
          <w:color w:val="auto"/>
          <w:sz w:val="24"/>
          <w:szCs w:val="24"/>
          <w:highlight w:val="none"/>
          <w:lang w:val="en-US" w:eastAsia="zh-CN"/>
        </w:rPr>
        <w:t>建设分两期进行，</w:t>
      </w:r>
      <w:r>
        <w:rPr>
          <w:rFonts w:hint="eastAsia" w:ascii="宋体" w:hAnsi="宋体" w:cs="Times New Roman"/>
          <w:b w:val="0"/>
          <w:bCs/>
          <w:color w:val="auto"/>
          <w:kern w:val="0"/>
          <w:sz w:val="24"/>
          <w:szCs w:val="24"/>
          <w:highlight w:val="none"/>
          <w:lang w:val="en-US" w:eastAsia="zh-CN" w:bidi="ar-SA"/>
        </w:rPr>
        <w:t>一期规划建设安装范围为门诊楼、康复楼、专科楼、综合楼、连廊等建筑物或构建物的屋顶，以及新建医院西面停车棚的顶部；二期规划建设安装范围为舟山市第二人民医院住院楼二期工程完工后的剩余可利用空间。</w:t>
      </w:r>
      <w:r>
        <w:rPr>
          <w:rFonts w:hint="eastAsia" w:ascii="宋体" w:hAnsi="宋体" w:eastAsia="宋体" w:cs="宋体"/>
          <w:b w:val="0"/>
          <w:bCs w:val="0"/>
          <w:color w:val="auto"/>
          <w:sz w:val="24"/>
          <w:szCs w:val="24"/>
          <w:highlight w:val="none"/>
          <w:lang w:val="en-US" w:eastAsia="zh-CN"/>
        </w:rPr>
        <w:t>一期</w:t>
      </w:r>
      <w:r>
        <w:rPr>
          <w:rFonts w:hint="eastAsia" w:ascii="宋体" w:hAnsi="宋体" w:eastAsia="宋体" w:cs="宋体"/>
          <w:b w:val="0"/>
          <w:bCs w:val="0"/>
          <w:color w:val="auto"/>
          <w:sz w:val="24"/>
          <w:szCs w:val="24"/>
          <w:highlight w:val="none"/>
          <w:lang w:eastAsia="zh-CN"/>
        </w:rPr>
        <w:t>规划装机容量不超过</w:t>
      </w:r>
      <w:r>
        <w:rPr>
          <w:rFonts w:hint="eastAsia" w:ascii="宋体" w:hAnsi="宋体" w:eastAsia="宋体" w:cs="宋体"/>
          <w:b w:val="0"/>
          <w:bCs w:val="0"/>
          <w:color w:val="auto"/>
          <w:sz w:val="24"/>
          <w:szCs w:val="24"/>
          <w:highlight w:val="none"/>
          <w:lang w:val="en-US" w:eastAsia="zh-CN"/>
        </w:rPr>
        <w:t>0.564MWp</w:t>
      </w:r>
      <w:r>
        <w:rPr>
          <w:rFonts w:hint="eastAsia" w:ascii="宋体" w:hAnsi="宋体" w:eastAsia="宋体" w:cs="宋体"/>
          <w:b w:val="0"/>
          <w:bCs w:val="0"/>
          <w:color w:val="auto"/>
          <w:sz w:val="24"/>
          <w:szCs w:val="24"/>
          <w:highlight w:val="none"/>
          <w:lang w:eastAsia="zh-CN"/>
        </w:rPr>
        <w:t>（约</w:t>
      </w:r>
      <w:r>
        <w:rPr>
          <w:rFonts w:hint="eastAsia" w:ascii="宋体" w:hAnsi="宋体" w:eastAsia="宋体" w:cs="宋体"/>
          <w:b w:val="0"/>
          <w:bCs w:val="0"/>
          <w:color w:val="auto"/>
          <w:sz w:val="24"/>
          <w:szCs w:val="24"/>
          <w:highlight w:val="none"/>
          <w:lang w:val="en-US" w:eastAsia="zh-CN"/>
        </w:rPr>
        <w:t>60</w:t>
      </w:r>
      <w:r>
        <w:rPr>
          <w:rFonts w:hint="eastAsia" w:ascii="宋体" w:hAnsi="宋体" w:eastAsia="宋体" w:cs="宋体"/>
          <w:b w:val="0"/>
          <w:bCs w:val="0"/>
          <w:color w:val="auto"/>
          <w:sz w:val="24"/>
          <w:szCs w:val="24"/>
          <w:highlight w:val="none"/>
          <w:lang w:eastAsia="zh-CN"/>
        </w:rPr>
        <w:t>00平装机面积，具体以实际安装为准），系统效率约84.4%，</w:t>
      </w:r>
      <w:r>
        <w:rPr>
          <w:rFonts w:hint="eastAsia" w:ascii="宋体" w:hAnsi="宋体" w:eastAsia="宋体" w:cs="宋体"/>
          <w:b w:val="0"/>
          <w:bCs w:val="0"/>
          <w:color w:val="auto"/>
          <w:sz w:val="24"/>
          <w:szCs w:val="24"/>
          <w:highlight w:val="none"/>
          <w:lang w:val="en-US" w:eastAsia="zh-CN"/>
        </w:rPr>
        <w:t>本</w:t>
      </w:r>
      <w:r>
        <w:rPr>
          <w:rFonts w:hint="eastAsia" w:ascii="宋体" w:hAnsi="宋体" w:eastAsia="宋体" w:cs="宋体"/>
          <w:b w:val="0"/>
          <w:bCs w:val="0"/>
          <w:color w:val="auto"/>
          <w:sz w:val="24"/>
          <w:szCs w:val="24"/>
          <w:highlight w:val="none"/>
          <w:lang w:eastAsia="zh-CN"/>
        </w:rPr>
        <w:t>地年日照时长约1327小时。</w:t>
      </w:r>
    </w:p>
    <w:p>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Times New Roman"/>
          <w:b/>
          <w:bCs/>
          <w:color w:val="auto"/>
          <w:kern w:val="2"/>
          <w:sz w:val="24"/>
          <w:szCs w:val="24"/>
          <w:highlight w:val="none"/>
          <w:lang w:val="en-US" w:eastAsia="zh-CN" w:bidi="ar-SA"/>
        </w:rPr>
      </w:pPr>
      <w:r>
        <w:rPr>
          <w:rFonts w:hint="eastAsia" w:ascii="宋体" w:hAnsi="宋体" w:cs="Times New Roman"/>
          <w:b/>
          <w:bCs/>
          <w:color w:val="auto"/>
          <w:kern w:val="2"/>
          <w:sz w:val="24"/>
          <w:szCs w:val="24"/>
          <w:highlight w:val="none"/>
          <w:lang w:val="en-US" w:eastAsia="zh-CN" w:bidi="ar-SA"/>
        </w:rPr>
        <w:t>2.项目范围</w:t>
      </w:r>
      <w:r>
        <w:rPr>
          <w:rFonts w:hint="eastAsia" w:ascii="宋体" w:hAnsi="宋体" w:eastAsia="宋体" w:cs="Times New Roman"/>
          <w:b/>
          <w:bCs/>
          <w:color w:val="auto"/>
          <w:kern w:val="2"/>
          <w:sz w:val="24"/>
          <w:szCs w:val="24"/>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420" w:lineRule="exact"/>
        <w:ind w:firstLine="480"/>
        <w:textAlignment w:val="auto"/>
        <w:rPr>
          <w:rFonts w:hint="eastAsia" w:ascii="宋体" w:hAnsi="宋体" w:eastAsia="宋体" w:cs="Times New Roman"/>
          <w:b w:val="0"/>
          <w:bCs/>
          <w:color w:val="auto"/>
          <w:kern w:val="0"/>
          <w:sz w:val="24"/>
          <w:szCs w:val="24"/>
          <w:highlight w:val="none"/>
          <w:lang w:val="en-US" w:eastAsia="zh-CN" w:bidi="ar-SA"/>
        </w:rPr>
      </w:pPr>
      <w:bookmarkStart w:id="3" w:name="OLE_LINK3"/>
      <w:r>
        <w:rPr>
          <w:rFonts w:hint="eastAsia" w:ascii="宋体" w:hAnsi="宋体" w:cs="Times New Roman"/>
          <w:b w:val="0"/>
          <w:bCs/>
          <w:color w:val="auto"/>
          <w:kern w:val="0"/>
          <w:sz w:val="24"/>
          <w:szCs w:val="24"/>
          <w:highlight w:val="none"/>
          <w:lang w:val="en-US" w:eastAsia="zh-CN" w:bidi="ar-SA"/>
        </w:rPr>
        <w:t>舟</w:t>
      </w:r>
      <w:r>
        <w:rPr>
          <w:rFonts w:hint="eastAsia" w:ascii="宋体" w:hAnsi="宋体" w:eastAsia="宋体" w:cs="Times New Roman"/>
          <w:b w:val="0"/>
          <w:bCs/>
          <w:color w:val="auto"/>
          <w:kern w:val="0"/>
          <w:sz w:val="24"/>
          <w:szCs w:val="24"/>
          <w:highlight w:val="none"/>
          <w:lang w:val="en-US" w:eastAsia="zh-CN" w:bidi="ar-SA"/>
        </w:rPr>
        <w:t>山市第二人民医院光伏发电建设项目</w:t>
      </w:r>
      <w:r>
        <w:rPr>
          <w:rFonts w:hint="eastAsia" w:ascii="宋体" w:hAnsi="宋体" w:cs="Times New Roman"/>
          <w:b w:val="0"/>
          <w:bCs/>
          <w:color w:val="auto"/>
          <w:kern w:val="0"/>
          <w:sz w:val="24"/>
          <w:szCs w:val="24"/>
          <w:highlight w:val="none"/>
          <w:lang w:val="en-US" w:eastAsia="zh-CN" w:bidi="ar-SA"/>
        </w:rPr>
        <w:t>包含全部</w:t>
      </w:r>
      <w:r>
        <w:rPr>
          <w:rFonts w:hint="eastAsia" w:ascii="宋体" w:hAnsi="宋体" w:eastAsia="宋体" w:cs="Times New Roman"/>
          <w:b w:val="0"/>
          <w:bCs/>
          <w:color w:val="auto"/>
          <w:kern w:val="0"/>
          <w:sz w:val="24"/>
          <w:szCs w:val="24"/>
          <w:highlight w:val="none"/>
          <w:lang w:val="en-US" w:eastAsia="zh-CN" w:bidi="ar-SA"/>
        </w:rPr>
        <w:t>工程勘察设计（含造价咨询、项目工程合规性手续办理）、设备材料采购供应、建筑安装工程施工、工程质量及工期控制、工程管理、培训、电网接入系统检测、调试、试运直至验收交付生产以及在合约期内的运营及维护保养等。</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Times New Roman"/>
          <w:b w:val="0"/>
          <w:bCs/>
          <w:color w:val="auto"/>
          <w:kern w:val="0"/>
          <w:sz w:val="24"/>
          <w:szCs w:val="24"/>
          <w:highlight w:val="none"/>
          <w:lang w:val="en-US" w:eastAsia="zh-CN" w:bidi="ar-SA"/>
        </w:rPr>
      </w:pPr>
      <w:r>
        <w:rPr>
          <w:rFonts w:hint="eastAsia" w:ascii="宋体" w:hAnsi="宋体" w:eastAsia="宋体" w:cs="Times New Roman"/>
          <w:b w:val="0"/>
          <w:bCs/>
          <w:color w:val="auto"/>
          <w:kern w:val="0"/>
          <w:sz w:val="24"/>
          <w:szCs w:val="24"/>
          <w:highlight w:val="none"/>
          <w:lang w:val="en-US" w:eastAsia="zh-CN" w:bidi="ar-SA"/>
        </w:rPr>
        <w:t xml:space="preserve">    中标企业通过对舟山市第二人民医院的建筑物或构筑物的荷载、屋顶可利用面积、区域电网、电力负荷等情况进行深入调研和统计分析后，制定项目的可行性分析及具体的实施方案，</w:t>
      </w:r>
      <w:r>
        <w:rPr>
          <w:rFonts w:hint="eastAsia" w:ascii="宋体" w:hAnsi="宋体" w:eastAsia="宋体" w:cs="Times New Roman"/>
          <w:b w:val="0"/>
          <w:bCs/>
          <w:color w:val="auto"/>
          <w:kern w:val="0"/>
          <w:sz w:val="24"/>
          <w:szCs w:val="24"/>
          <w:highlight w:val="yellow"/>
          <w:lang w:val="en-US" w:eastAsia="zh-CN" w:bidi="ar-SA"/>
        </w:rPr>
        <w:t>与舟山市第二人民医院签署能源管理</w:t>
      </w:r>
      <w:r>
        <w:rPr>
          <w:rFonts w:hint="eastAsia" w:ascii="宋体" w:hAnsi="宋体" w:cs="Times New Roman"/>
          <w:b w:val="0"/>
          <w:bCs/>
          <w:color w:val="auto"/>
          <w:kern w:val="0"/>
          <w:sz w:val="24"/>
          <w:szCs w:val="24"/>
          <w:highlight w:val="yellow"/>
          <w:lang w:val="en-US" w:eastAsia="zh-CN" w:bidi="ar-SA"/>
        </w:rPr>
        <w:t>合同</w:t>
      </w:r>
      <w:r>
        <w:rPr>
          <w:rFonts w:hint="eastAsia" w:ascii="宋体" w:hAnsi="宋体" w:eastAsia="宋体" w:cs="Times New Roman"/>
          <w:b w:val="0"/>
          <w:bCs/>
          <w:color w:val="auto"/>
          <w:kern w:val="0"/>
          <w:sz w:val="24"/>
          <w:szCs w:val="24"/>
          <w:highlight w:val="yellow"/>
          <w:lang w:val="en-US" w:eastAsia="zh-CN" w:bidi="ar-SA"/>
        </w:rPr>
        <w:t>。</w:t>
      </w:r>
      <w:r>
        <w:rPr>
          <w:rFonts w:hint="eastAsia" w:ascii="宋体" w:hAnsi="宋体" w:eastAsia="宋体" w:cs="Times New Roman"/>
          <w:b w:val="0"/>
          <w:bCs/>
          <w:color w:val="auto"/>
          <w:kern w:val="0"/>
          <w:sz w:val="24"/>
          <w:szCs w:val="24"/>
          <w:highlight w:val="none"/>
          <w:lang w:val="en-US" w:eastAsia="zh-CN" w:bidi="ar-SA"/>
        </w:rPr>
        <w:t>本项目运营期为20年，项目建成后接入用户侧并网，最终以电网批复为准。本项目由中标企业投资建设，光伏系统产权归中标企业所有，舟山市第二人民医院将享有光伏电价优惠。所生产的电能质量安全可靠的绿色电力，大部分电力就地供舟山市第二人民医院使用，确保有效降低网购常规电力。如有多余电力，则并入电网，按照当地的市场上网电价销售给电网公司。</w:t>
      </w:r>
    </w:p>
    <w:bookmarkEnd w:id="3"/>
    <w:p>
      <w:pPr>
        <w:keepNext w:val="0"/>
        <w:keepLines w:val="0"/>
        <w:pageBreakBefore w:val="0"/>
        <w:numPr>
          <w:ilvl w:val="0"/>
          <w:numId w:val="7"/>
        </w:numPr>
        <w:kinsoku/>
        <w:wordWrap/>
        <w:overflowPunct/>
        <w:topLinePunct w:val="0"/>
        <w:autoSpaceDE/>
        <w:autoSpaceDN/>
        <w:bidi w:val="0"/>
        <w:adjustRightInd/>
        <w:snapToGrid/>
        <w:spacing w:before="120" w:beforeLines="50" w:line="420" w:lineRule="exact"/>
        <w:ind w:firstLine="437"/>
        <w:jc w:val="left"/>
        <w:textAlignment w:val="auto"/>
        <w:rPr>
          <w:rFonts w:hint="eastAsia" w:ascii="宋体" w:hAnsi="宋体"/>
          <w:color w:val="auto"/>
          <w:sz w:val="24"/>
          <w:szCs w:val="24"/>
          <w:highlight w:val="none"/>
        </w:rPr>
      </w:pPr>
      <w:r>
        <w:rPr>
          <w:rFonts w:hint="eastAsia" w:ascii="宋体" w:hAnsi="宋体"/>
          <w:b/>
          <w:bCs/>
          <w:color w:val="auto"/>
          <w:sz w:val="24"/>
          <w:szCs w:val="24"/>
          <w:highlight w:val="none"/>
        </w:rPr>
        <w:t>最高限价：</w:t>
      </w:r>
      <w:r>
        <w:rPr>
          <w:rFonts w:hint="eastAsia" w:ascii="宋体" w:hAnsi="宋体"/>
          <w:color w:val="auto"/>
          <w:sz w:val="24"/>
          <w:szCs w:val="24"/>
          <w:highlight w:val="none"/>
        </w:rPr>
        <w:t>电网电价优惠折扣的光伏电价每度0.</w:t>
      </w:r>
      <w:r>
        <w:rPr>
          <w:rFonts w:hint="eastAsia" w:ascii="宋体" w:hAnsi="宋体"/>
          <w:color w:val="auto"/>
          <w:sz w:val="24"/>
          <w:szCs w:val="24"/>
          <w:highlight w:val="none"/>
          <w:lang w:val="en-US" w:eastAsia="zh-CN"/>
        </w:rPr>
        <w:t>43</w:t>
      </w:r>
      <w:r>
        <w:rPr>
          <w:rFonts w:hint="eastAsia" w:ascii="宋体" w:hAnsi="宋体"/>
          <w:color w:val="auto"/>
          <w:sz w:val="24"/>
          <w:szCs w:val="24"/>
          <w:highlight w:val="none"/>
        </w:rPr>
        <w:t>元。</w:t>
      </w:r>
    </w:p>
    <w:p>
      <w:pPr>
        <w:keepNext w:val="0"/>
        <w:keepLines w:val="0"/>
        <w:pageBreakBefore w:val="0"/>
        <w:numPr>
          <w:ilvl w:val="0"/>
          <w:numId w:val="7"/>
        </w:numPr>
        <w:kinsoku/>
        <w:wordWrap/>
        <w:overflowPunct/>
        <w:topLinePunct w:val="0"/>
        <w:autoSpaceDE/>
        <w:autoSpaceDN/>
        <w:bidi w:val="0"/>
        <w:adjustRightInd/>
        <w:snapToGrid/>
        <w:spacing w:before="120" w:beforeLines="50" w:line="420" w:lineRule="exact"/>
        <w:ind w:firstLine="437"/>
        <w:jc w:val="left"/>
        <w:textAlignment w:val="auto"/>
        <w:rPr>
          <w:rFonts w:ascii="宋体" w:hAnsi="宋体"/>
          <w:b/>
          <w:color w:val="auto"/>
          <w:sz w:val="24"/>
          <w:szCs w:val="24"/>
          <w:highlight w:val="none"/>
        </w:rPr>
      </w:pPr>
      <w:r>
        <w:rPr>
          <w:rFonts w:hint="eastAsia" w:ascii="宋体" w:hAnsi="宋体" w:cs="Arial" w:eastAsiaTheme="minorEastAsia"/>
          <w:b/>
          <w:bCs/>
          <w:kern w:val="2"/>
          <w:sz w:val="24"/>
          <w:szCs w:val="24"/>
          <w:lang w:val="en-US" w:eastAsia="zh-CN" w:bidi="ar-SA"/>
        </w:rPr>
        <w:t>投标报名及投标截止和开标时间、地点</w:t>
      </w:r>
    </w:p>
    <w:p>
      <w:pPr>
        <w:keepNext w:val="0"/>
        <w:keepLines w:val="0"/>
        <w:pageBreakBefore w:val="0"/>
        <w:kinsoku/>
        <w:wordWrap/>
        <w:overflowPunct/>
        <w:topLinePunct w:val="0"/>
        <w:autoSpaceDE/>
        <w:autoSpaceDN/>
        <w:bidi w:val="0"/>
        <w:adjustRightInd/>
        <w:snapToGrid/>
        <w:spacing w:before="120" w:beforeLines="50" w:line="420" w:lineRule="exact"/>
        <w:ind w:firstLine="437"/>
        <w:jc w:val="left"/>
        <w:textAlignment w:val="auto"/>
        <w:rPr>
          <w:rFonts w:hint="eastAsia" w:ascii="宋体" w:hAnsi="宋体"/>
          <w:color w:val="auto"/>
          <w:sz w:val="24"/>
          <w:szCs w:val="24"/>
          <w:highlight w:val="none"/>
          <w:lang w:val="en-US" w:eastAsia="zh-CN"/>
        </w:rPr>
      </w:pPr>
      <w:r>
        <w:rPr>
          <w:rFonts w:hint="eastAsia" w:ascii="宋体" w:hAnsi="宋体"/>
          <w:color w:val="auto"/>
          <w:sz w:val="24"/>
          <w:szCs w:val="24"/>
          <w:highlight w:val="none"/>
        </w:rPr>
        <w:t>1</w:t>
      </w:r>
      <w:r>
        <w:rPr>
          <w:rFonts w:hint="eastAsia" w:ascii="宋体" w:hAnsi="宋体"/>
          <w:color w:val="auto"/>
          <w:sz w:val="24"/>
          <w:szCs w:val="24"/>
          <w:highlight w:val="none"/>
          <w:lang w:val="en-US" w:eastAsia="zh-CN"/>
        </w:rPr>
        <w:t>.网上报名及招标文件获取时间 ：2025年5月30日至2025年6月9日17时止（北京时间），节假日除外；(将资质证件以PDF或word发至邮箱986917388@qq.com)后电话确认，邮件标题为所参加的项目名称(包括投标标段）+公司名称，邮件中注明授权代表联系电话。没有进行网上报名及电话确认的，不再接受现场确认。</w:t>
      </w:r>
    </w:p>
    <w:p>
      <w:pPr>
        <w:keepNext w:val="0"/>
        <w:keepLines w:val="0"/>
        <w:pageBreakBefore w:val="0"/>
        <w:kinsoku/>
        <w:wordWrap/>
        <w:overflowPunct/>
        <w:topLinePunct w:val="0"/>
        <w:autoSpaceDE/>
        <w:autoSpaceDN/>
        <w:bidi w:val="0"/>
        <w:adjustRightInd/>
        <w:snapToGrid/>
        <w:spacing w:before="120" w:beforeLines="50" w:line="420" w:lineRule="exact"/>
        <w:ind w:firstLine="437"/>
        <w:jc w:val="left"/>
        <w:textAlignment w:val="auto"/>
        <w:rPr>
          <w:rFonts w:hint="eastAsia" w:ascii="宋体" w:hAnsi="宋体"/>
          <w:color w:val="auto"/>
          <w:sz w:val="24"/>
          <w:szCs w:val="24"/>
          <w:highlight w:val="none"/>
        </w:rPr>
      </w:pPr>
      <w:r>
        <w:rPr>
          <w:rFonts w:hint="eastAsia" w:ascii="宋体" w:hAnsi="宋体"/>
          <w:color w:val="auto"/>
          <w:sz w:val="24"/>
          <w:szCs w:val="24"/>
          <w:highlight w:val="none"/>
          <w:lang w:val="en-US" w:eastAsia="zh-CN"/>
        </w:rPr>
        <w:t>2.</w:t>
      </w:r>
      <w:r>
        <w:rPr>
          <w:rFonts w:hint="eastAsia" w:ascii="宋体" w:hAnsi="宋体"/>
          <w:color w:val="auto"/>
          <w:sz w:val="24"/>
          <w:szCs w:val="24"/>
          <w:highlight w:val="none"/>
        </w:rPr>
        <w:t>报名确认电话:13615800164      联系人：杨泽坤</w:t>
      </w:r>
    </w:p>
    <w:p>
      <w:pPr>
        <w:keepNext w:val="0"/>
        <w:keepLines w:val="0"/>
        <w:pageBreakBefore w:val="0"/>
        <w:kinsoku/>
        <w:wordWrap/>
        <w:overflowPunct/>
        <w:topLinePunct w:val="0"/>
        <w:autoSpaceDE/>
        <w:autoSpaceDN/>
        <w:bidi w:val="0"/>
        <w:adjustRightInd/>
        <w:snapToGrid/>
        <w:spacing w:before="120" w:beforeLines="50" w:line="420" w:lineRule="exact"/>
        <w:ind w:firstLine="437"/>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3</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现场确认时间：2025年</w:t>
      </w:r>
      <w:r>
        <w:rPr>
          <w:rFonts w:hint="eastAsia" w:ascii="宋体" w:hAnsi="宋体"/>
          <w:color w:val="auto"/>
          <w:sz w:val="24"/>
          <w:szCs w:val="24"/>
          <w:highlight w:val="none"/>
          <w:lang w:val="en-US" w:eastAsia="zh-CN"/>
        </w:rPr>
        <w:t>6</w:t>
      </w:r>
      <w:r>
        <w:rPr>
          <w:rFonts w:hint="eastAsia" w:ascii="宋体" w:hAnsi="宋体"/>
          <w:color w:val="auto"/>
          <w:sz w:val="24"/>
          <w:szCs w:val="24"/>
          <w:highlight w:val="none"/>
        </w:rPr>
        <w:t xml:space="preserve">月 </w:t>
      </w:r>
      <w:r>
        <w:rPr>
          <w:rFonts w:hint="eastAsia" w:ascii="宋体" w:hAnsi="宋体"/>
          <w:color w:val="auto"/>
          <w:sz w:val="24"/>
          <w:szCs w:val="24"/>
          <w:highlight w:val="none"/>
          <w:lang w:val="en-US" w:eastAsia="zh-CN"/>
        </w:rPr>
        <w:t>10</w:t>
      </w:r>
      <w:r>
        <w:rPr>
          <w:rFonts w:hint="eastAsia" w:ascii="宋体" w:hAnsi="宋体"/>
          <w:color w:val="auto"/>
          <w:sz w:val="24"/>
          <w:szCs w:val="24"/>
          <w:highlight w:val="none"/>
        </w:rPr>
        <w:t>日，下午14:00-14：30（北京时间），逾期作自动放弃（现场确认时，请携带投标文件资料）。</w:t>
      </w:r>
    </w:p>
    <w:p>
      <w:pPr>
        <w:keepNext w:val="0"/>
        <w:keepLines w:val="0"/>
        <w:pageBreakBefore w:val="0"/>
        <w:kinsoku/>
        <w:wordWrap/>
        <w:overflowPunct/>
        <w:topLinePunct w:val="0"/>
        <w:autoSpaceDE/>
        <w:autoSpaceDN/>
        <w:bidi w:val="0"/>
        <w:adjustRightInd/>
        <w:snapToGrid/>
        <w:spacing w:before="120" w:beforeLines="50" w:line="420" w:lineRule="exact"/>
        <w:ind w:firstLine="437"/>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地点：舟山市第二人民医院门诊楼316评标室（舟山市定海区千岛街道鼓吹山路29号）</w:t>
      </w:r>
    </w:p>
    <w:p>
      <w:pPr>
        <w:keepNext w:val="0"/>
        <w:keepLines w:val="0"/>
        <w:pageBreakBefore w:val="0"/>
        <w:kinsoku/>
        <w:wordWrap/>
        <w:overflowPunct/>
        <w:topLinePunct w:val="0"/>
        <w:autoSpaceDE/>
        <w:autoSpaceDN/>
        <w:bidi w:val="0"/>
        <w:adjustRightInd/>
        <w:snapToGrid/>
        <w:spacing w:before="120" w:beforeLines="50" w:line="420" w:lineRule="exact"/>
        <w:ind w:firstLine="437"/>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4</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投标截止时间/开标时间和地点： 投标人应于2025年</w:t>
      </w:r>
      <w:r>
        <w:rPr>
          <w:rFonts w:hint="eastAsia" w:ascii="宋体" w:hAnsi="宋体"/>
          <w:color w:val="auto"/>
          <w:sz w:val="24"/>
          <w:szCs w:val="24"/>
          <w:highlight w:val="none"/>
          <w:lang w:val="en-US" w:eastAsia="zh-CN"/>
        </w:rPr>
        <w:t>6</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10</w:t>
      </w:r>
      <w:r>
        <w:rPr>
          <w:rFonts w:hint="eastAsia" w:ascii="宋体" w:hAnsi="宋体"/>
          <w:color w:val="auto"/>
          <w:sz w:val="24"/>
          <w:szCs w:val="24"/>
          <w:highlight w:val="none"/>
        </w:rPr>
        <w:t xml:space="preserve"> 日， 下午14:30 时（北京时间）前将投标文件密封送交到</w:t>
      </w:r>
      <w:bookmarkStart w:id="4" w:name="OLE_LINK5"/>
      <w:r>
        <w:rPr>
          <w:rFonts w:hint="eastAsia" w:ascii="宋体" w:hAnsi="宋体"/>
          <w:color w:val="auto"/>
          <w:sz w:val="24"/>
          <w:szCs w:val="24"/>
          <w:highlight w:val="none"/>
        </w:rPr>
        <w:t>舟山市第二人民医院门诊楼316评标室</w:t>
      </w:r>
      <w:bookmarkEnd w:id="4"/>
      <w:r>
        <w:rPr>
          <w:rFonts w:hint="eastAsia" w:ascii="宋体" w:hAnsi="宋体"/>
          <w:color w:val="auto"/>
          <w:sz w:val="24"/>
          <w:szCs w:val="24"/>
          <w:highlight w:val="none"/>
        </w:rPr>
        <w:t>（舟山市定海区千岛街道鼓吹山路29号），逾期送达或未密封将予以拒收。</w:t>
      </w:r>
    </w:p>
    <w:p>
      <w:pPr>
        <w:keepNext w:val="0"/>
        <w:keepLines w:val="0"/>
        <w:pageBreakBefore w:val="0"/>
        <w:kinsoku/>
        <w:wordWrap/>
        <w:overflowPunct/>
        <w:topLinePunct w:val="0"/>
        <w:autoSpaceDE/>
        <w:autoSpaceDN/>
        <w:bidi w:val="0"/>
        <w:adjustRightInd/>
        <w:snapToGrid/>
        <w:spacing w:before="120" w:beforeLines="50" w:line="420" w:lineRule="exact"/>
        <w:ind w:firstLine="437"/>
        <w:jc w:val="left"/>
        <w:textAlignment w:val="auto"/>
        <w:rPr>
          <w:rFonts w:ascii="宋体" w:hAnsi="宋体"/>
          <w:b/>
          <w:color w:val="auto"/>
          <w:sz w:val="24"/>
          <w:szCs w:val="24"/>
          <w:highlight w:val="none"/>
        </w:rPr>
      </w:pPr>
      <w:r>
        <w:rPr>
          <w:rFonts w:hint="eastAsia" w:ascii="宋体" w:hAnsi="宋体"/>
          <w:b/>
          <w:color w:val="auto"/>
          <w:sz w:val="24"/>
          <w:szCs w:val="24"/>
          <w:highlight w:val="none"/>
        </w:rPr>
        <w:t>八、投标人资格要求</w:t>
      </w:r>
    </w:p>
    <w:p>
      <w:pPr>
        <w:keepNext w:val="0"/>
        <w:keepLines w:val="0"/>
        <w:pageBreakBefore w:val="0"/>
        <w:kinsoku/>
        <w:wordWrap/>
        <w:overflowPunct/>
        <w:topLinePunct w:val="0"/>
        <w:autoSpaceDE/>
        <w:autoSpaceDN/>
        <w:bidi w:val="0"/>
        <w:adjustRightInd/>
        <w:snapToGrid/>
        <w:spacing w:before="120" w:beforeLines="50" w:line="420" w:lineRule="exact"/>
        <w:ind w:firstLine="437"/>
        <w:jc w:val="left"/>
        <w:textAlignment w:val="auto"/>
        <w:rPr>
          <w:rFonts w:ascii="宋体" w:hAnsi="宋体"/>
          <w:color w:val="auto"/>
          <w:sz w:val="24"/>
          <w:szCs w:val="24"/>
          <w:highlight w:val="none"/>
        </w:rPr>
      </w:pPr>
      <w:r>
        <w:rPr>
          <w:rFonts w:hint="eastAsia" w:ascii="宋体" w:hAnsi="宋体"/>
          <w:color w:val="auto"/>
          <w:sz w:val="24"/>
          <w:szCs w:val="24"/>
          <w:highlight w:val="none"/>
        </w:rPr>
        <w:t>1</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符合政府采购法第二十二条规定的投标人资格条件。</w:t>
      </w:r>
    </w:p>
    <w:p>
      <w:pPr>
        <w:keepNext w:val="0"/>
        <w:keepLines w:val="0"/>
        <w:pageBreakBefore w:val="0"/>
        <w:kinsoku/>
        <w:wordWrap/>
        <w:overflowPunct/>
        <w:topLinePunct w:val="0"/>
        <w:autoSpaceDE/>
        <w:autoSpaceDN/>
        <w:bidi w:val="0"/>
        <w:adjustRightInd/>
        <w:snapToGrid/>
        <w:spacing w:before="120" w:beforeLines="50" w:line="420" w:lineRule="exact"/>
        <w:ind w:firstLine="437"/>
        <w:jc w:val="left"/>
        <w:textAlignment w:val="auto"/>
        <w:rPr>
          <w:rFonts w:ascii="宋体" w:hAnsi="宋体"/>
          <w:color w:val="auto"/>
          <w:sz w:val="24"/>
          <w:szCs w:val="24"/>
          <w:highlight w:val="none"/>
        </w:rPr>
      </w:pPr>
      <w:r>
        <w:rPr>
          <w:rFonts w:hint="eastAsia" w:ascii="宋体" w:hAnsi="宋体"/>
          <w:color w:val="auto"/>
          <w:sz w:val="24"/>
          <w:szCs w:val="24"/>
          <w:highlight w:val="none"/>
        </w:rPr>
        <w:t>2</w:t>
      </w:r>
      <w:r>
        <w:rPr>
          <w:rFonts w:hint="eastAsia" w:ascii="宋体" w:hAnsi="宋体"/>
          <w:color w:val="auto"/>
          <w:sz w:val="24"/>
          <w:szCs w:val="24"/>
          <w:highlight w:val="none"/>
          <w:lang w:val="en-US" w:eastAsia="zh-CN"/>
        </w:rPr>
        <w:t>.</w:t>
      </w:r>
      <w:r>
        <w:rPr>
          <w:rFonts w:ascii="宋体" w:hAnsi="宋体"/>
          <w:color w:val="auto"/>
          <w:sz w:val="24"/>
          <w:szCs w:val="24"/>
          <w:highlight w:val="none"/>
        </w:rPr>
        <w:t>未被“信用中国”（www.creditchina.gov.cn）、中国政府采购网（www.ccgp.gov.cn）列入失信被执行人、重大税收违法案件当事人名单、政府采购严重违法失信行为记录名单</w:t>
      </w:r>
      <w:r>
        <w:rPr>
          <w:rFonts w:hint="eastAsia" w:ascii="宋体" w:hAnsi="宋体"/>
          <w:color w:val="auto"/>
          <w:sz w:val="24"/>
          <w:szCs w:val="24"/>
          <w:highlight w:val="none"/>
        </w:rPr>
        <w:t>。</w:t>
      </w:r>
    </w:p>
    <w:p>
      <w:pPr>
        <w:snapToGrid w:val="0"/>
        <w:spacing w:line="520" w:lineRule="exact"/>
        <w:ind w:firstLine="480" w:firstLineChars="200"/>
        <w:rPr>
          <w:rFonts w:hint="eastAsia" w:ascii="宋体" w:hAnsi="宋体"/>
          <w:color w:val="auto"/>
          <w:sz w:val="24"/>
          <w:szCs w:val="24"/>
          <w:highlight w:val="none"/>
          <w:lang w:val="en-US" w:eastAsia="zh-CN"/>
        </w:rPr>
      </w:pPr>
      <w:r>
        <w:rPr>
          <w:rFonts w:ascii="宋体" w:hAnsi="宋体"/>
          <w:color w:val="auto"/>
          <w:sz w:val="24"/>
          <w:szCs w:val="24"/>
          <w:highlight w:val="none"/>
        </w:rPr>
        <w:t>3</w:t>
      </w:r>
      <w:r>
        <w:rPr>
          <w:rFonts w:hint="eastAsia" w:ascii="宋体" w:hAnsi="宋体"/>
          <w:color w:val="auto"/>
          <w:sz w:val="24"/>
          <w:szCs w:val="24"/>
          <w:highlight w:val="none"/>
          <w:lang w:val="en-US" w:eastAsia="zh-CN"/>
        </w:rPr>
        <w:t>.本项目允许联合体投标。联合体投标需满足以下要求：</w:t>
      </w:r>
    </w:p>
    <w:p>
      <w:pPr>
        <w:snapToGrid w:val="0"/>
        <w:spacing w:line="520" w:lineRule="exact"/>
        <w:ind w:firstLine="480" w:firstLineChars="200"/>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3.1联合体资质认定：联合体各方的资质将根据联合体协议中约定的分工进行认定，确保各成员单位在其专业领域具备相应的资质和能力。</w:t>
      </w:r>
    </w:p>
    <w:p>
      <w:pPr>
        <w:snapToGrid w:val="0"/>
        <w:spacing w:line="520" w:lineRule="exact"/>
        <w:ind w:firstLine="480" w:firstLineChars="200"/>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3.2股权穿透关系证明：联合体需提供股权穿透关系证明，以明确联合体成员之间的股权结构关系，确保投标过程的透明度和合规性。</w:t>
      </w:r>
    </w:p>
    <w:p>
      <w:pPr>
        <w:keepNext w:val="0"/>
        <w:keepLines w:val="0"/>
        <w:pageBreakBefore w:val="0"/>
        <w:kinsoku/>
        <w:wordWrap/>
        <w:overflowPunct/>
        <w:topLinePunct w:val="0"/>
        <w:autoSpaceDE/>
        <w:autoSpaceDN/>
        <w:bidi w:val="0"/>
        <w:adjustRightInd/>
        <w:snapToGrid/>
        <w:spacing w:before="120" w:beforeLines="50" w:line="420" w:lineRule="exact"/>
        <w:ind w:firstLine="437"/>
        <w:jc w:val="left"/>
        <w:textAlignment w:val="auto"/>
        <w:rPr>
          <w:rFonts w:ascii="宋体" w:hAnsi="宋体"/>
          <w:b/>
          <w:color w:val="auto"/>
          <w:sz w:val="24"/>
          <w:szCs w:val="24"/>
          <w:highlight w:val="none"/>
        </w:rPr>
      </w:pPr>
      <w:r>
        <w:rPr>
          <w:rFonts w:hint="eastAsia" w:ascii="宋体" w:hAnsi="宋体"/>
          <w:b/>
          <w:color w:val="auto"/>
          <w:sz w:val="24"/>
          <w:szCs w:val="24"/>
          <w:highlight w:val="none"/>
          <w:lang w:val="en-US" w:eastAsia="zh-CN"/>
        </w:rPr>
        <w:t>九</w:t>
      </w:r>
      <w:r>
        <w:rPr>
          <w:rFonts w:hint="eastAsia" w:ascii="宋体" w:hAnsi="宋体"/>
          <w:b/>
          <w:color w:val="auto"/>
          <w:sz w:val="24"/>
          <w:szCs w:val="24"/>
          <w:highlight w:val="none"/>
        </w:rPr>
        <w:t>、联系方式：</w:t>
      </w:r>
    </w:p>
    <w:p>
      <w:pPr>
        <w:spacing w:before="120" w:beforeLines="50" w:line="52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lang w:val="en-US" w:eastAsia="zh-CN"/>
        </w:rPr>
        <w:t>1.</w:t>
      </w:r>
      <w:r>
        <w:rPr>
          <w:rFonts w:hint="eastAsia" w:ascii="宋体" w:hAnsi="宋体"/>
          <w:color w:val="auto"/>
          <w:sz w:val="24"/>
          <w:szCs w:val="24"/>
          <w:highlight w:val="none"/>
        </w:rPr>
        <w:t>招 标 人：舟山市第二人民医院</w:t>
      </w:r>
    </w:p>
    <w:p>
      <w:pPr>
        <w:spacing w:before="120" w:beforeLines="50" w:line="520" w:lineRule="exact"/>
        <w:ind w:firstLine="437"/>
        <w:jc w:val="left"/>
        <w:rPr>
          <w:rFonts w:hint="eastAsia" w:ascii="宋体" w:hAnsi="宋体"/>
          <w:color w:val="auto"/>
          <w:sz w:val="24"/>
          <w:szCs w:val="24"/>
          <w:highlight w:val="none"/>
        </w:rPr>
      </w:pPr>
      <w:r>
        <w:rPr>
          <w:rFonts w:hint="eastAsia" w:ascii="宋体" w:hAnsi="宋体"/>
          <w:color w:val="auto"/>
          <w:sz w:val="24"/>
          <w:szCs w:val="24"/>
          <w:highlight w:val="none"/>
        </w:rPr>
        <w:t>联系地址：舟山市定海区千岛街道鼓吹山路29号</w:t>
      </w:r>
    </w:p>
    <w:p>
      <w:pPr>
        <w:spacing w:before="120" w:beforeLines="50" w:line="520" w:lineRule="exact"/>
        <w:ind w:firstLine="437"/>
        <w:jc w:val="left"/>
        <w:rPr>
          <w:rFonts w:ascii="宋体" w:hAnsi="宋体"/>
          <w:color w:val="auto"/>
          <w:sz w:val="24"/>
          <w:szCs w:val="24"/>
          <w:highlight w:val="none"/>
        </w:rPr>
      </w:pPr>
      <w:r>
        <w:rPr>
          <w:rFonts w:hint="eastAsia" w:ascii="宋体" w:hAnsi="宋体"/>
          <w:color w:val="auto"/>
          <w:sz w:val="24"/>
          <w:szCs w:val="24"/>
          <w:highlight w:val="none"/>
        </w:rPr>
        <w:t>联系电话：13615800164</w:t>
      </w:r>
    </w:p>
    <w:p>
      <w:pPr>
        <w:spacing w:before="120" w:beforeLines="50" w:line="520" w:lineRule="exact"/>
        <w:ind w:firstLine="437"/>
        <w:jc w:val="left"/>
        <w:rPr>
          <w:rFonts w:hint="eastAsia" w:ascii="宋体" w:hAnsi="宋体"/>
          <w:color w:val="auto"/>
          <w:sz w:val="24"/>
          <w:szCs w:val="24"/>
          <w:highlight w:val="none"/>
        </w:rPr>
      </w:pPr>
      <w:r>
        <w:rPr>
          <w:rFonts w:hint="eastAsia" w:ascii="宋体" w:hAnsi="宋体"/>
          <w:color w:val="auto"/>
          <w:sz w:val="24"/>
          <w:szCs w:val="24"/>
          <w:highlight w:val="none"/>
        </w:rPr>
        <w:t>联 系 人：杨泽坤</w:t>
      </w:r>
    </w:p>
    <w:p>
      <w:pPr>
        <w:spacing w:before="120" w:beforeLines="50" w:line="520" w:lineRule="exact"/>
        <w:ind w:firstLine="480" w:firstLineChars="200"/>
        <w:jc w:val="left"/>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2.医院监督管理部门：舟山市第二人民医院纪检监察室</w:t>
      </w:r>
    </w:p>
    <w:p>
      <w:pPr>
        <w:spacing w:before="120" w:beforeLines="50" w:line="520" w:lineRule="exact"/>
        <w:ind w:firstLine="437"/>
        <w:jc w:val="left"/>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联系方式：0580-2362900</w:t>
      </w:r>
    </w:p>
    <w:p>
      <w:pPr>
        <w:spacing w:before="120" w:beforeLines="50" w:line="520" w:lineRule="exact"/>
        <w:ind w:firstLine="437"/>
        <w:jc w:val="left"/>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br w:type="page"/>
      </w:r>
    </w:p>
    <w:p>
      <w:pPr>
        <w:pStyle w:val="35"/>
        <w:rPr>
          <w:rFonts w:hint="eastAsia"/>
          <w:lang w:val="en-US" w:eastAsia="zh-CN"/>
        </w:rPr>
      </w:pPr>
    </w:p>
    <w:p>
      <w:pPr>
        <w:numPr>
          <w:ilvl w:val="0"/>
          <w:numId w:val="8"/>
        </w:numPr>
        <w:snapToGrid w:val="0"/>
        <w:spacing w:before="120" w:beforeLines="50" w:after="120" w:afterLines="50" w:line="520" w:lineRule="exact"/>
        <w:jc w:val="center"/>
        <w:rPr>
          <w:rFonts w:hint="eastAsia" w:ascii="宋体" w:hAnsi="宋体" w:eastAsia="宋体" w:cs="宋体"/>
          <w:b/>
          <w:color w:val="auto"/>
          <w:sz w:val="28"/>
          <w:szCs w:val="28"/>
          <w:highlight w:val="none"/>
        </w:rPr>
      </w:pPr>
      <w:r>
        <w:rPr>
          <w:rFonts w:hint="eastAsia" w:ascii="宋体" w:hAnsi="宋体" w:cs="宋体"/>
          <w:b/>
          <w:color w:val="auto"/>
          <w:sz w:val="28"/>
          <w:szCs w:val="28"/>
          <w:highlight w:val="none"/>
          <w:lang w:val="en-US" w:eastAsia="zh-CN"/>
        </w:rPr>
        <w:t xml:space="preserve"> 采购</w:t>
      </w:r>
      <w:r>
        <w:rPr>
          <w:rFonts w:hint="eastAsia" w:ascii="宋体" w:hAnsi="宋体" w:eastAsia="宋体" w:cs="宋体"/>
          <w:b/>
          <w:color w:val="auto"/>
          <w:sz w:val="28"/>
          <w:szCs w:val="28"/>
          <w:highlight w:val="none"/>
        </w:rPr>
        <w:t>需求</w:t>
      </w:r>
    </w:p>
    <w:p>
      <w:pPr>
        <w:numPr>
          <w:ilvl w:val="0"/>
          <w:numId w:val="0"/>
        </w:numPr>
        <w:tabs>
          <w:tab w:val="clear" w:pos="360"/>
          <w:tab w:val="clear" w:pos="840"/>
          <w:tab w:val="clear" w:pos="1440"/>
        </w:tabs>
        <w:snapToGrid w:val="0"/>
        <w:spacing w:before="120" w:beforeLines="50" w:after="120" w:afterLines="50" w:line="520" w:lineRule="exact"/>
        <w:ind w:firstLine="482" w:firstLineChars="200"/>
        <w:jc w:val="both"/>
        <w:rPr>
          <w:rFonts w:hint="eastAsia" w:ascii="宋体" w:hAnsi="宋体" w:eastAsia="宋体" w:cs="宋体"/>
          <w:b w:val="0"/>
          <w:bCs w:val="0"/>
          <w:color w:val="auto"/>
          <w:sz w:val="24"/>
          <w:szCs w:val="24"/>
          <w:highlight w:val="none"/>
          <w:lang w:val="en-US" w:eastAsia="zh-CN"/>
        </w:rPr>
      </w:pPr>
      <w:r>
        <w:rPr>
          <w:rFonts w:hint="eastAsia" w:ascii="宋体" w:hAnsi="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lang w:val="en-US" w:eastAsia="zh-CN"/>
        </w:rPr>
        <w:t>总则</w:t>
      </w:r>
    </w:p>
    <w:p>
      <w:pPr>
        <w:tabs>
          <w:tab w:val="left" w:pos="709"/>
        </w:tabs>
        <w:adjustRightInd w:val="0"/>
        <w:snapToGrid w:val="0"/>
        <w:spacing w:line="360" w:lineRule="auto"/>
        <w:ind w:right="229" w:rightChars="109" w:firstLine="480" w:firstLineChars="200"/>
        <w:outlineLvl w:val="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1.舟山市第二人民医院建筑物或构建物的屋顶、空间等安装光伏发电设备，一期工程装机容量约0.564MWp左右。</w:t>
      </w:r>
    </w:p>
    <w:p>
      <w:pPr>
        <w:tabs>
          <w:tab w:val="left" w:pos="709"/>
        </w:tabs>
        <w:adjustRightInd w:val="0"/>
        <w:snapToGrid w:val="0"/>
        <w:spacing w:line="360" w:lineRule="auto"/>
        <w:ind w:right="229" w:rightChars="109" w:firstLine="480" w:firstLineChars="200"/>
        <w:outlineLvl w:val="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2.运营期20年。</w:t>
      </w:r>
    </w:p>
    <w:p>
      <w:pPr>
        <w:tabs>
          <w:tab w:val="left" w:pos="709"/>
        </w:tabs>
        <w:adjustRightInd w:val="0"/>
        <w:snapToGrid w:val="0"/>
        <w:spacing w:line="360" w:lineRule="auto"/>
        <w:ind w:right="229" w:rightChars="109" w:firstLine="482" w:firstLineChars="200"/>
        <w:outlineLvl w:val="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w:t>
      </w:r>
      <w:r>
        <w:rPr>
          <w:rFonts w:hint="eastAsia" w:ascii="宋体" w:hAnsi="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细则</w:t>
      </w:r>
    </w:p>
    <w:p>
      <w:pPr>
        <w:tabs>
          <w:tab w:val="left" w:pos="709"/>
        </w:tabs>
        <w:adjustRightInd w:val="0"/>
        <w:snapToGrid w:val="0"/>
        <w:spacing w:line="360" w:lineRule="auto"/>
        <w:ind w:right="229" w:rightChars="109" w:firstLine="480" w:firstLineChars="200"/>
        <w:outlineLvl w:val="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项目概况</w:t>
      </w:r>
    </w:p>
    <w:p>
      <w:pPr>
        <w:tabs>
          <w:tab w:val="left" w:pos="709"/>
        </w:tabs>
        <w:adjustRightInd w:val="0"/>
        <w:snapToGrid w:val="0"/>
        <w:spacing w:line="360" w:lineRule="auto"/>
        <w:ind w:right="229" w:rightChars="109" w:firstLine="480" w:firstLineChars="200"/>
        <w:outlineLvl w:val="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舟山市第二人民医院光伏发电建设项目地点位于浙江省舟山市定海区新城千岛街道鼓吹山路29号，本项目对舟山市第二人民医院光伏备电综合服务等进行招标，提供舟山市第二人民医院太阳能发电。项目建设分两期进行，一期规划建设安装范围为门诊楼、康复楼、专科楼、综合楼、连廊等建筑物或构建物的屋顶，以及新建医院西面停车棚的顶部；二期规划建设安装范围为舟山市第二人民医院住院楼二期工程完工后的剩余可利用空间。一期规划装机容量不超过0.564MWp（约6000平装机面积，具体以实际安装为准），系统效率约84.4%，本地年日照时长约1327小时。</w:t>
      </w:r>
    </w:p>
    <w:p>
      <w:pPr>
        <w:tabs>
          <w:tab w:val="left" w:pos="709"/>
        </w:tabs>
        <w:adjustRightInd w:val="0"/>
        <w:snapToGrid w:val="0"/>
        <w:spacing w:line="360" w:lineRule="auto"/>
        <w:ind w:right="229" w:rightChars="109" w:firstLine="480" w:firstLineChars="200"/>
        <w:outlineLvl w:val="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项目范围</w:t>
      </w:r>
    </w:p>
    <w:p>
      <w:pPr>
        <w:tabs>
          <w:tab w:val="left" w:pos="709"/>
        </w:tabs>
        <w:adjustRightInd w:val="0"/>
        <w:snapToGrid w:val="0"/>
        <w:spacing w:line="360" w:lineRule="auto"/>
        <w:ind w:right="229" w:rightChars="109" w:firstLine="480" w:firstLineChars="200"/>
        <w:outlineLvl w:val="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舟山市第二人民医院光伏发电建设项目包含全部工程勘察设计（含造价咨询、项目工程合规性手续办理）、设备材料采购供应、建筑安装工程施工、工程质量及工期控制、工程管理、培训、电网接入系统检测、调试、试运直至验收交付生产以及在合约期内的运营及维护保养等。</w:t>
      </w:r>
    </w:p>
    <w:p>
      <w:pPr>
        <w:tabs>
          <w:tab w:val="left" w:pos="709"/>
        </w:tabs>
        <w:adjustRightInd w:val="0"/>
        <w:snapToGrid w:val="0"/>
        <w:spacing w:line="360" w:lineRule="auto"/>
        <w:ind w:right="229" w:rightChars="109"/>
        <w:outlineLvl w:val="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 xml:space="preserve">    中标企业通过对舟山市第二人民医院的建筑物或构筑物的荷载、屋顶可利用面积、区域电网、电力负荷等情况进行深入调研和统计分析后，制定项目的可行性分析及具体的实施方案，与舟山市第二人民医院签署能源管理合同。本项目运营期为20年，项目建成后接入用户侧并网，最终以电网批复为准。本项目由中标企业投资建设，光伏系统产权归中标企业所有，舟山市第二人民医院将享有光伏电价优惠。所生产的电能质量安全可靠的绿色电力，大部分电力就地供舟山市第二人民医院使用，确保有效降低网购常规电力。如有多余电力，则并入电网，按照当地的市场上网电价销售给电网公司。</w:t>
      </w:r>
    </w:p>
    <w:p>
      <w:pPr>
        <w:tabs>
          <w:tab w:val="left" w:pos="709"/>
        </w:tabs>
        <w:adjustRightInd w:val="0"/>
        <w:snapToGrid w:val="0"/>
        <w:spacing w:line="360" w:lineRule="auto"/>
        <w:ind w:right="229" w:rightChars="109" w:firstLine="482" w:firstLineChars="200"/>
        <w:outlineLvl w:val="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w:t>
      </w:r>
      <w:r>
        <w:rPr>
          <w:rFonts w:hint="eastAsia" w:ascii="宋体" w:hAnsi="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技术要求</w:t>
      </w:r>
    </w:p>
    <w:p>
      <w:pPr>
        <w:tabs>
          <w:tab w:val="left" w:pos="709"/>
        </w:tabs>
        <w:adjustRightInd w:val="0"/>
        <w:snapToGrid w:val="0"/>
        <w:spacing w:line="360" w:lineRule="auto"/>
        <w:ind w:right="229" w:rightChars="109"/>
        <w:outlineLvl w:val="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 xml:space="preserve">    1</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光伏规范要求：中标人应严格按照国家有关标准和规范建设光伏发电系统，主要包括但不限于《光伏发电工程施工组织设计规范》（GB/T 50795-2012）、《太阳光伏电源系统安装工程施工及验收技术规范》（CECS85-96</w:t>
      </w:r>
      <w:bookmarkStart w:id="5" w:name="OLE_LINK4"/>
      <w:r>
        <w:rPr>
          <w:rFonts w:hint="eastAsia" w:ascii="宋体" w:hAnsi="宋体" w:eastAsia="宋体" w:cs="宋体"/>
          <w:b w:val="0"/>
          <w:bCs w:val="0"/>
          <w:color w:val="auto"/>
          <w:sz w:val="24"/>
          <w:szCs w:val="24"/>
          <w:highlight w:val="none"/>
          <w:lang w:val="en-US" w:eastAsia="zh-CN"/>
        </w:rPr>
        <w:t>）、《晶体硅光伏（PV）方阵I-V特性的现场测量》（GB/T 18210-2000）、《钢结构工程施工质</w:t>
      </w:r>
      <w:bookmarkEnd w:id="5"/>
      <w:r>
        <w:rPr>
          <w:rFonts w:hint="eastAsia" w:ascii="宋体" w:hAnsi="宋体" w:eastAsia="宋体" w:cs="宋体"/>
          <w:b w:val="0"/>
          <w:bCs w:val="0"/>
          <w:color w:val="auto"/>
          <w:sz w:val="24"/>
          <w:szCs w:val="24"/>
          <w:highlight w:val="none"/>
          <w:lang w:val="en-US" w:eastAsia="zh-CN"/>
        </w:rPr>
        <w:t>量验收规范》（GB50205-2001）、《屋面工程质量验收规范》（GB50207-2002）等国家标准。</w:t>
      </w:r>
    </w:p>
    <w:p>
      <w:pPr>
        <w:tabs>
          <w:tab w:val="left" w:pos="709"/>
        </w:tabs>
        <w:adjustRightInd w:val="0"/>
        <w:snapToGrid w:val="0"/>
        <w:spacing w:line="360" w:lineRule="auto"/>
        <w:ind w:right="229" w:rightChars="109"/>
        <w:outlineLvl w:val="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 xml:space="preserve">    2</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质量标准及验收：按照相关法律法规，一次性验收合格率为100%。</w:t>
      </w:r>
    </w:p>
    <w:p>
      <w:pPr>
        <w:tabs>
          <w:tab w:val="left" w:pos="709"/>
        </w:tabs>
        <w:adjustRightInd w:val="0"/>
        <w:snapToGrid w:val="0"/>
        <w:spacing w:line="360" w:lineRule="auto"/>
        <w:ind w:right="229" w:rightChars="109" w:firstLine="480"/>
        <w:outlineLvl w:val="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设备选型：</w:t>
      </w:r>
    </w:p>
    <w:p>
      <w:pPr>
        <w:tabs>
          <w:tab w:val="left" w:pos="709"/>
        </w:tabs>
        <w:adjustRightInd w:val="0"/>
        <w:snapToGrid w:val="0"/>
        <w:spacing w:line="360" w:lineRule="auto"/>
        <w:ind w:right="229" w:rightChars="109" w:firstLine="480" w:firstLineChars="200"/>
        <w:outlineLvl w:val="0"/>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3.1</w:t>
      </w:r>
      <w:r>
        <w:rPr>
          <w:rFonts w:hint="eastAsia" w:ascii="宋体" w:hAnsi="宋体" w:eastAsia="宋体" w:cs="宋体"/>
          <w:b w:val="0"/>
          <w:bCs w:val="0"/>
          <w:color w:val="auto"/>
          <w:sz w:val="24"/>
          <w:szCs w:val="24"/>
          <w:highlight w:val="none"/>
          <w:lang w:val="en-US" w:eastAsia="zh-CN"/>
        </w:rPr>
        <w:t>光伏组件品牌要求：隆基、晶科、晶澳太阳能、天合、华晟等；</w:t>
      </w:r>
    </w:p>
    <w:p>
      <w:pPr>
        <w:tabs>
          <w:tab w:val="left" w:pos="709"/>
        </w:tabs>
        <w:adjustRightInd w:val="0"/>
        <w:snapToGrid w:val="0"/>
        <w:spacing w:line="360" w:lineRule="auto"/>
        <w:ind w:right="229" w:rightChars="109" w:firstLine="480" w:firstLineChars="200"/>
        <w:outlineLvl w:val="0"/>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3.2</w:t>
      </w:r>
      <w:r>
        <w:rPr>
          <w:rFonts w:hint="eastAsia" w:ascii="宋体" w:hAnsi="宋体" w:eastAsia="宋体" w:cs="宋体"/>
          <w:b w:val="0"/>
          <w:bCs w:val="0"/>
          <w:color w:val="auto"/>
          <w:sz w:val="24"/>
          <w:szCs w:val="24"/>
          <w:highlight w:val="none"/>
          <w:lang w:val="en-US" w:eastAsia="zh-CN"/>
        </w:rPr>
        <w:t>逆变器品牌要求：华为、阳光电源、固德威等（采用国际或国内一线品牌）。</w:t>
      </w:r>
    </w:p>
    <w:p>
      <w:pPr>
        <w:tabs>
          <w:tab w:val="left" w:pos="709"/>
        </w:tabs>
        <w:adjustRightInd w:val="0"/>
        <w:snapToGrid w:val="0"/>
        <w:spacing w:line="360" w:lineRule="auto"/>
        <w:ind w:right="229" w:rightChars="109" w:firstLine="480"/>
        <w:outlineLvl w:val="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承包方式：EMC模式。由具备资质的设计单位承担工程建设的整体设计。</w:t>
      </w:r>
    </w:p>
    <w:p>
      <w:pPr>
        <w:tabs>
          <w:tab w:val="left" w:pos="709"/>
        </w:tabs>
        <w:adjustRightInd w:val="0"/>
        <w:snapToGrid w:val="0"/>
        <w:spacing w:line="360" w:lineRule="auto"/>
        <w:ind w:right="229" w:rightChars="109" w:firstLine="480"/>
        <w:outlineLvl w:val="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根据项目实施经验，光伏发电系统日常自动化运行，所需运维较少，应减少人员上下的安全风险。光伏发电的运行与维护应保证系统本身安全，以及不会对人员造成伤害。</w:t>
      </w:r>
    </w:p>
    <w:p>
      <w:pPr>
        <w:tabs>
          <w:tab w:val="left" w:pos="709"/>
        </w:tabs>
        <w:adjustRightInd w:val="0"/>
        <w:snapToGrid w:val="0"/>
        <w:spacing w:line="360" w:lineRule="auto"/>
        <w:ind w:right="229" w:rightChars="109" w:firstLine="480"/>
        <w:outlineLvl w:val="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6</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光伏发电设备周边不得堆积易燃易爆物品，保持通风散热良好光伏组件表面应保持清洁，严禁使用腐蚀性溶剂或用硬物擦拭光伏组件。</w:t>
      </w:r>
    </w:p>
    <w:p>
      <w:pPr>
        <w:tabs>
          <w:tab w:val="left" w:pos="709"/>
        </w:tabs>
        <w:adjustRightInd w:val="0"/>
        <w:snapToGrid w:val="0"/>
        <w:spacing w:line="360" w:lineRule="auto"/>
        <w:ind w:right="229" w:rightChars="109" w:firstLine="480"/>
        <w:outlineLvl w:val="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7</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光伏发电主要部件上的各种警示标识应保持完整，各个接线端子应牢固可靠，设备的接线孔处应采取有效措施防止蛇、鼠等小动物进入设备内部。</w:t>
      </w:r>
    </w:p>
    <w:p>
      <w:pPr>
        <w:tabs>
          <w:tab w:val="left" w:pos="709"/>
        </w:tabs>
        <w:adjustRightInd w:val="0"/>
        <w:snapToGrid w:val="0"/>
        <w:spacing w:line="360" w:lineRule="auto"/>
        <w:ind w:right="229" w:rightChars="109" w:firstLine="480"/>
        <w:outlineLvl w:val="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8</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光伏发电主要部件在运行时，温度、声音、气味等不应出现异常情况，指示灯应正常工作并保持清洁。</w:t>
      </w:r>
    </w:p>
    <w:p>
      <w:pPr>
        <w:tabs>
          <w:tab w:val="left" w:pos="709"/>
        </w:tabs>
        <w:adjustRightInd w:val="0"/>
        <w:snapToGrid w:val="0"/>
        <w:spacing w:line="360" w:lineRule="auto"/>
        <w:ind w:right="229" w:rightChars="109" w:firstLine="480"/>
        <w:outlineLvl w:val="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9</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光伏发电主要部件应始终运行在产品标准规定的范围之内，达不到要求的部件应及时维修或更换。设备更换应由专业技术人员操作。</w:t>
      </w:r>
    </w:p>
    <w:p>
      <w:pPr>
        <w:tabs>
          <w:tab w:val="left" w:pos="709"/>
        </w:tabs>
        <w:adjustRightInd w:val="0"/>
        <w:snapToGrid w:val="0"/>
        <w:spacing w:line="360" w:lineRule="auto"/>
        <w:ind w:right="229" w:rightChars="109" w:firstLine="480"/>
        <w:outlineLvl w:val="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10</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中标人在项目施工前，需提供项目设计图纸和屋面荷载报告。</w:t>
      </w:r>
    </w:p>
    <w:p>
      <w:pPr>
        <w:tabs>
          <w:tab w:val="left" w:pos="709"/>
        </w:tabs>
        <w:adjustRightInd w:val="0"/>
        <w:snapToGrid w:val="0"/>
        <w:spacing w:line="360" w:lineRule="auto"/>
        <w:ind w:right="229" w:rightChars="109" w:firstLine="482" w:firstLineChars="200"/>
        <w:outlineLvl w:val="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四</w:t>
      </w:r>
      <w:r>
        <w:rPr>
          <w:rFonts w:hint="eastAsia" w:ascii="宋体" w:hAnsi="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商务要求</w:t>
      </w:r>
    </w:p>
    <w:p>
      <w:pPr>
        <w:numPr>
          <w:ilvl w:val="0"/>
          <w:numId w:val="0"/>
        </w:numPr>
        <w:tabs>
          <w:tab w:val="left" w:pos="709"/>
          <w:tab w:val="clear" w:pos="360"/>
          <w:tab w:val="clear" w:pos="840"/>
          <w:tab w:val="clear" w:pos="1440"/>
        </w:tabs>
        <w:adjustRightInd w:val="0"/>
        <w:snapToGrid w:val="0"/>
        <w:spacing w:line="360" w:lineRule="auto"/>
        <w:ind w:right="229" w:rightChars="109" w:firstLine="480" w:firstLineChars="200"/>
        <w:outlineLvl w:val="0"/>
        <w:rPr>
          <w:rFonts w:hint="eastAsia" w:ascii="宋体" w:hAnsi="宋体" w:eastAsia="宋体" w:cs="宋体"/>
          <w:b w:val="0"/>
          <w:bCs w:val="0"/>
          <w:color w:val="auto"/>
          <w:sz w:val="24"/>
          <w:szCs w:val="24"/>
          <w:highlight w:val="none"/>
          <w:lang w:val="en-US" w:eastAsia="zh-CN"/>
        </w:rPr>
      </w:pPr>
      <w:r>
        <w:rPr>
          <w:rFonts w:hint="eastAsia" w:ascii="宋体" w:hAnsi="宋体"/>
          <w:b/>
          <w:sz w:val="24"/>
          <w:szCs w:val="24"/>
        </w:rPr>
        <w:t>★</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运营期限以20年为最高限制。</w:t>
      </w:r>
    </w:p>
    <w:p>
      <w:pPr>
        <w:numPr>
          <w:ilvl w:val="0"/>
          <w:numId w:val="0"/>
        </w:numPr>
        <w:tabs>
          <w:tab w:val="left" w:pos="709"/>
          <w:tab w:val="clear" w:pos="360"/>
          <w:tab w:val="clear" w:pos="840"/>
          <w:tab w:val="clear" w:pos="1440"/>
        </w:tabs>
        <w:adjustRightInd w:val="0"/>
        <w:snapToGrid w:val="0"/>
        <w:spacing w:line="360" w:lineRule="auto"/>
        <w:ind w:right="229" w:rightChars="109" w:firstLine="480" w:firstLineChars="200"/>
        <w:outlineLvl w:val="0"/>
        <w:rPr>
          <w:rFonts w:hint="eastAsia" w:ascii="宋体" w:hAnsi="宋体" w:eastAsia="宋体" w:cs="宋体"/>
          <w:b w:val="0"/>
          <w:bCs w:val="0"/>
          <w:color w:val="auto"/>
          <w:sz w:val="24"/>
          <w:szCs w:val="24"/>
          <w:highlight w:val="none"/>
          <w:lang w:val="en-US" w:eastAsia="zh-CN"/>
        </w:rPr>
      </w:pPr>
      <w:r>
        <w:rPr>
          <w:rFonts w:hint="eastAsia" w:ascii="宋体" w:hAnsi="宋体"/>
          <w:b/>
          <w:sz w:val="24"/>
          <w:szCs w:val="24"/>
        </w:rPr>
        <w:t>★</w:t>
      </w: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二期工程是否启动由采购人根据实际情况决定，建设安装范围和是否加装储能设备由采购人和中标人共同协商确认。</w:t>
      </w:r>
    </w:p>
    <w:p>
      <w:pPr>
        <w:numPr>
          <w:ilvl w:val="0"/>
          <w:numId w:val="0"/>
        </w:numPr>
        <w:tabs>
          <w:tab w:val="left" w:pos="709"/>
          <w:tab w:val="clear" w:pos="360"/>
          <w:tab w:val="clear" w:pos="840"/>
          <w:tab w:val="clear" w:pos="1440"/>
        </w:tabs>
        <w:adjustRightInd w:val="0"/>
        <w:snapToGrid w:val="0"/>
        <w:spacing w:line="360" w:lineRule="auto"/>
        <w:ind w:right="229" w:rightChars="109" w:firstLine="480" w:firstLineChars="200"/>
        <w:outlineLvl w:val="0"/>
        <w:rPr>
          <w:rFonts w:hint="eastAsia" w:ascii="宋体" w:hAnsi="宋体" w:cs="宋体"/>
          <w:b w:val="0"/>
          <w:bCs w:val="0"/>
          <w:color w:val="auto"/>
          <w:sz w:val="24"/>
          <w:szCs w:val="24"/>
          <w:highlight w:val="none"/>
          <w:lang w:val="en-US" w:eastAsia="zh-CN"/>
        </w:rPr>
      </w:pPr>
      <w:r>
        <w:rPr>
          <w:rFonts w:hint="eastAsia" w:ascii="宋体" w:hAnsi="宋体"/>
          <w:b/>
          <w:sz w:val="24"/>
          <w:szCs w:val="24"/>
        </w:rPr>
        <w:t>★</w:t>
      </w:r>
      <w:r>
        <w:rPr>
          <w:rFonts w:hint="eastAsia" w:ascii="宋体" w:hAnsi="宋体" w:cs="宋体"/>
          <w:b w:val="0"/>
          <w:bCs w:val="0"/>
          <w:color w:val="auto"/>
          <w:sz w:val="24"/>
          <w:szCs w:val="24"/>
          <w:highlight w:val="none"/>
          <w:lang w:val="en-US" w:eastAsia="zh-CN"/>
        </w:rPr>
        <w:t>3.项目运营期间，中标人</w:t>
      </w:r>
      <w:r>
        <w:rPr>
          <w:rFonts w:hint="default" w:ascii="宋体" w:hAnsi="宋体" w:cs="宋体"/>
          <w:b w:val="0"/>
          <w:bCs w:val="0"/>
          <w:color w:val="auto"/>
          <w:sz w:val="24"/>
          <w:szCs w:val="24"/>
          <w:highlight w:val="none"/>
          <w:lang w:val="en-US" w:eastAsia="zh-CN"/>
        </w:rPr>
        <w:t>全权负责租赁标的物及光伏电站的维护</w:t>
      </w:r>
      <w:r>
        <w:rPr>
          <w:rFonts w:hint="eastAsia" w:ascii="宋体" w:hAnsi="宋体" w:cs="宋体"/>
          <w:b w:val="0"/>
          <w:bCs w:val="0"/>
          <w:color w:val="auto"/>
          <w:sz w:val="24"/>
          <w:szCs w:val="24"/>
          <w:highlight w:val="none"/>
          <w:lang w:val="en-US" w:eastAsia="zh-CN"/>
        </w:rPr>
        <w:t>。</w:t>
      </w:r>
      <w:r>
        <w:commentReference w:id="0"/>
      </w:r>
    </w:p>
    <w:p>
      <w:pPr>
        <w:numPr>
          <w:ilvl w:val="0"/>
          <w:numId w:val="0"/>
        </w:numPr>
        <w:tabs>
          <w:tab w:val="left" w:pos="709"/>
          <w:tab w:val="clear" w:pos="360"/>
          <w:tab w:val="clear" w:pos="840"/>
          <w:tab w:val="clear" w:pos="1440"/>
        </w:tabs>
        <w:adjustRightInd w:val="0"/>
        <w:snapToGrid w:val="0"/>
        <w:spacing w:line="360" w:lineRule="auto"/>
        <w:ind w:right="229" w:rightChars="109" w:firstLine="480" w:firstLineChars="200"/>
        <w:outlineLvl w:val="0"/>
        <w:rPr>
          <w:rFonts w:hint="eastAsia" w:ascii="宋体" w:hAnsi="宋体" w:cs="宋体"/>
          <w:b w:val="0"/>
          <w:bCs w:val="0"/>
          <w:color w:val="auto"/>
          <w:sz w:val="24"/>
          <w:szCs w:val="24"/>
          <w:highlight w:val="none"/>
          <w:lang w:val="en-US" w:eastAsia="zh-CN"/>
        </w:rPr>
      </w:pPr>
      <w:r>
        <w:rPr>
          <w:rFonts w:hint="eastAsia" w:ascii="宋体" w:hAnsi="宋体"/>
          <w:b/>
          <w:sz w:val="24"/>
          <w:szCs w:val="24"/>
        </w:rPr>
        <w:t>★</w:t>
      </w:r>
      <w:r>
        <w:rPr>
          <w:rFonts w:hint="eastAsia" w:ascii="宋体" w:hAnsi="宋体" w:cs="宋体"/>
          <w:b w:val="0"/>
          <w:bCs w:val="0"/>
          <w:color w:val="auto"/>
          <w:sz w:val="24"/>
          <w:szCs w:val="24"/>
          <w:highlight w:val="none"/>
          <w:lang w:val="en-US" w:eastAsia="zh-CN"/>
        </w:rPr>
        <w:t>4.项目合同期满以后光伏电站资产将无偿转让给采购人。</w:t>
      </w:r>
    </w:p>
    <w:p>
      <w:pPr>
        <w:numPr>
          <w:ilvl w:val="0"/>
          <w:numId w:val="0"/>
        </w:numPr>
        <w:tabs>
          <w:tab w:val="left" w:pos="709"/>
          <w:tab w:val="clear" w:pos="360"/>
          <w:tab w:val="clear" w:pos="840"/>
          <w:tab w:val="clear" w:pos="1440"/>
        </w:tabs>
        <w:adjustRightInd w:val="0"/>
        <w:snapToGrid w:val="0"/>
        <w:spacing w:line="360" w:lineRule="auto"/>
        <w:ind w:right="229" w:rightChars="109" w:firstLine="480" w:firstLineChars="200"/>
        <w:outlineLvl w:val="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5.合同期内非甲方为申报主体的补贴款全部归为乙方所有。</w:t>
      </w:r>
    </w:p>
    <w:p>
      <w:pPr>
        <w:numPr>
          <w:ilvl w:val="0"/>
          <w:numId w:val="0"/>
        </w:numPr>
        <w:tabs>
          <w:tab w:val="left" w:pos="709"/>
          <w:tab w:val="clear" w:pos="360"/>
          <w:tab w:val="clear" w:pos="840"/>
          <w:tab w:val="clear" w:pos="1440"/>
        </w:tabs>
        <w:adjustRightInd w:val="0"/>
        <w:snapToGrid w:val="0"/>
        <w:spacing w:line="360" w:lineRule="auto"/>
        <w:ind w:right="229" w:rightChars="109" w:firstLine="480" w:firstLineChars="200"/>
        <w:outlineLvl w:val="0"/>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6.申报审批发改委及能源部门核发的项目核准</w:t>
      </w:r>
      <w:r>
        <w:rPr>
          <w:rFonts w:hint="eastAsia" w:ascii="宋体" w:hAnsi="宋体" w:eastAsia="宋体" w:cs="宋体"/>
          <w:b w:val="0"/>
          <w:bCs w:val="0"/>
          <w:color w:val="auto"/>
          <w:sz w:val="24"/>
          <w:szCs w:val="24"/>
          <w:highlight w:val="none"/>
          <w:lang w:val="en-US" w:eastAsia="zh-CN"/>
        </w:rPr>
        <w:t>文件和国家电网同意并网的相关文件由中标人负责，采购人提供</w:t>
      </w:r>
      <w:r>
        <w:rPr>
          <w:rFonts w:hint="eastAsia" w:ascii="宋体" w:hAnsi="宋体" w:cs="宋体"/>
          <w:b w:val="0"/>
          <w:bCs w:val="0"/>
          <w:color w:val="auto"/>
          <w:sz w:val="24"/>
          <w:szCs w:val="24"/>
          <w:highlight w:val="none"/>
          <w:lang w:val="en-US" w:eastAsia="zh-CN"/>
        </w:rPr>
        <w:t>必要协助</w:t>
      </w:r>
      <w:r>
        <w:rPr>
          <w:rFonts w:hint="eastAsia" w:ascii="宋体" w:hAnsi="宋体" w:eastAsia="宋体" w:cs="宋体"/>
          <w:b w:val="0"/>
          <w:bCs w:val="0"/>
          <w:color w:val="auto"/>
          <w:sz w:val="24"/>
          <w:szCs w:val="24"/>
          <w:highlight w:val="none"/>
          <w:lang w:val="en-US" w:eastAsia="zh-CN"/>
        </w:rPr>
        <w:t>。</w:t>
      </w:r>
    </w:p>
    <w:p>
      <w:pPr>
        <w:numPr>
          <w:ilvl w:val="0"/>
          <w:numId w:val="0"/>
        </w:numPr>
        <w:tabs>
          <w:tab w:val="left" w:pos="709"/>
          <w:tab w:val="clear" w:pos="360"/>
          <w:tab w:val="clear" w:pos="840"/>
          <w:tab w:val="clear" w:pos="1440"/>
        </w:tabs>
        <w:adjustRightInd w:val="0"/>
        <w:snapToGrid w:val="0"/>
        <w:spacing w:line="360" w:lineRule="auto"/>
        <w:ind w:right="229" w:rightChars="109" w:firstLine="480" w:firstLineChars="200"/>
        <w:outlineLvl w:val="0"/>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7.</w:t>
      </w:r>
      <w:r>
        <w:rPr>
          <w:rFonts w:hint="eastAsia" w:ascii="宋体" w:hAnsi="宋体" w:eastAsia="宋体" w:cs="宋体"/>
          <w:b w:val="0"/>
          <w:bCs w:val="0"/>
          <w:color w:val="auto"/>
          <w:sz w:val="24"/>
          <w:szCs w:val="24"/>
          <w:highlight w:val="none"/>
          <w:lang w:val="en-US" w:eastAsia="zh-CN"/>
        </w:rPr>
        <w:t>以打造“零碳医院”为目标来进行项目的规划与建设，同时为后期碳资产开发、零碳医院的申报等提供服务。</w:t>
      </w:r>
    </w:p>
    <w:p>
      <w:pPr>
        <w:tabs>
          <w:tab w:val="left" w:pos="709"/>
        </w:tabs>
        <w:adjustRightInd w:val="0"/>
        <w:snapToGrid w:val="0"/>
        <w:spacing w:line="360" w:lineRule="auto"/>
        <w:ind w:right="229" w:rightChars="109" w:firstLine="480"/>
        <w:outlineLvl w:val="0"/>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br w:type="page"/>
      </w:r>
    </w:p>
    <w:p>
      <w:pPr>
        <w:tabs>
          <w:tab w:val="left" w:pos="709"/>
        </w:tabs>
        <w:adjustRightInd w:val="0"/>
        <w:snapToGrid w:val="0"/>
        <w:spacing w:line="360" w:lineRule="auto"/>
        <w:ind w:right="229" w:rightChars="109" w:firstLine="480"/>
        <w:outlineLvl w:val="0"/>
        <w:rPr>
          <w:rFonts w:hint="default" w:ascii="宋体" w:hAnsi="宋体" w:eastAsia="宋体" w:cs="宋体"/>
          <w:b w:val="0"/>
          <w:bCs w:val="0"/>
          <w:color w:val="auto"/>
          <w:sz w:val="24"/>
          <w:szCs w:val="24"/>
          <w:highlight w:val="none"/>
          <w:lang w:val="en-US" w:eastAsia="zh-CN"/>
        </w:rPr>
      </w:pPr>
    </w:p>
    <w:p>
      <w:pPr>
        <w:snapToGrid w:val="0"/>
        <w:spacing w:line="520" w:lineRule="exact"/>
        <w:jc w:val="center"/>
        <w:rPr>
          <w:rFonts w:hint="eastAsia" w:ascii="宋体" w:hAnsi="宋体" w:eastAsia="宋体" w:cs="宋体"/>
          <w:b/>
          <w:color w:val="auto"/>
          <w:sz w:val="28"/>
          <w:szCs w:val="28"/>
          <w:highlight w:val="none"/>
        </w:rPr>
      </w:pP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eastAsia="宋体" w:cs="宋体"/>
          <w:b/>
          <w:color w:val="auto"/>
          <w:sz w:val="28"/>
          <w:szCs w:val="28"/>
          <w:highlight w:val="none"/>
        </w:rPr>
        <w:t xml:space="preserve">第三章   </w:t>
      </w:r>
      <w:r>
        <w:rPr>
          <w:rFonts w:hint="eastAsia" w:ascii="宋体" w:hAnsi="宋体" w:cs="宋体"/>
          <w:b/>
          <w:color w:val="auto"/>
          <w:sz w:val="28"/>
          <w:szCs w:val="28"/>
          <w:highlight w:val="none"/>
          <w:lang w:val="en-US" w:eastAsia="zh-CN"/>
        </w:rPr>
        <w:t>供应商</w:t>
      </w:r>
      <w:r>
        <w:rPr>
          <w:rFonts w:hint="eastAsia" w:ascii="宋体" w:hAnsi="宋体" w:eastAsia="宋体" w:cs="宋体"/>
          <w:b/>
          <w:color w:val="auto"/>
          <w:sz w:val="28"/>
          <w:szCs w:val="28"/>
          <w:highlight w:val="none"/>
        </w:rPr>
        <w:t>须知</w:t>
      </w:r>
    </w:p>
    <w:p>
      <w:pPr>
        <w:spacing w:line="520" w:lineRule="exact"/>
        <w:jc w:val="center"/>
        <w:rPr>
          <w:color w:val="auto"/>
          <w:sz w:val="24"/>
          <w:szCs w:val="24"/>
          <w:highlight w:val="none"/>
        </w:rPr>
      </w:pPr>
      <w:r>
        <w:rPr>
          <w:rFonts w:hint="eastAsia"/>
          <w:color w:val="auto"/>
          <w:sz w:val="24"/>
          <w:szCs w:val="24"/>
          <w:highlight w:val="none"/>
        </w:rPr>
        <w:t>前附表</w:t>
      </w:r>
    </w:p>
    <w:tbl>
      <w:tblPr>
        <w:tblStyle w:val="33"/>
        <w:tblW w:w="10117" w:type="dxa"/>
        <w:jc w:val="center"/>
        <w:tblCellSpacing w:w="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1605"/>
        <w:gridCol w:w="4733"/>
        <w:gridCol w:w="1086"/>
        <w:gridCol w:w="19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1" w:hRule="atLeast"/>
          <w:tblCellSpacing w:w="7" w:type="dxa"/>
          <w:jc w:val="center"/>
        </w:trPr>
        <w:tc>
          <w:tcPr>
            <w:tcW w:w="701" w:type="dxa"/>
            <w:tcMar>
              <w:top w:w="15" w:type="dxa"/>
              <w:left w:w="15" w:type="dxa"/>
              <w:bottom w:w="15" w:type="dxa"/>
              <w:right w:w="15" w:type="dxa"/>
            </w:tcMar>
            <w:vAlign w:val="center"/>
          </w:tcPr>
          <w:p>
            <w:pPr>
              <w:spacing w:line="520" w:lineRule="exact"/>
              <w:jc w:val="center"/>
              <w:rPr>
                <w:rFonts w:ascii="宋体"/>
                <w:b/>
                <w:color w:val="auto"/>
                <w:sz w:val="24"/>
                <w:szCs w:val="24"/>
                <w:highlight w:val="none"/>
              </w:rPr>
            </w:pPr>
            <w:r>
              <w:rPr>
                <w:rFonts w:hint="eastAsia" w:ascii="宋体" w:hAnsi="宋体"/>
                <w:b/>
                <w:color w:val="auto"/>
                <w:sz w:val="24"/>
                <w:szCs w:val="24"/>
                <w:highlight w:val="none"/>
              </w:rPr>
              <w:t>序号</w:t>
            </w:r>
          </w:p>
        </w:tc>
        <w:tc>
          <w:tcPr>
            <w:tcW w:w="9374" w:type="dxa"/>
            <w:gridSpan w:val="4"/>
            <w:tcMar>
              <w:top w:w="15" w:type="dxa"/>
              <w:left w:w="15" w:type="dxa"/>
              <w:bottom w:w="15" w:type="dxa"/>
              <w:right w:w="15" w:type="dxa"/>
            </w:tcMar>
            <w:vAlign w:val="center"/>
          </w:tcPr>
          <w:p>
            <w:pPr>
              <w:spacing w:line="520" w:lineRule="exact"/>
              <w:jc w:val="center"/>
              <w:rPr>
                <w:rFonts w:ascii="宋体"/>
                <w:b/>
                <w:color w:val="auto"/>
                <w:sz w:val="24"/>
                <w:szCs w:val="24"/>
                <w:highlight w:val="none"/>
              </w:rPr>
            </w:pPr>
            <w:r>
              <w:rPr>
                <w:rFonts w:hint="eastAsia" w:ascii="宋体" w:hAnsi="宋体"/>
                <w:b/>
                <w:color w:val="auto"/>
                <w:sz w:val="24"/>
                <w:szCs w:val="24"/>
                <w:highlight w:val="none"/>
              </w:rPr>
              <w:t>内容说明及要求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4" w:hRule="atLeast"/>
          <w:tblCellSpacing w:w="7" w:type="dxa"/>
          <w:jc w:val="center"/>
        </w:trPr>
        <w:tc>
          <w:tcPr>
            <w:tcW w:w="701" w:type="dxa"/>
            <w:tcMar>
              <w:top w:w="15" w:type="dxa"/>
              <w:left w:w="15" w:type="dxa"/>
              <w:bottom w:w="15" w:type="dxa"/>
              <w:right w:w="15" w:type="dxa"/>
            </w:tcMar>
            <w:vAlign w:val="center"/>
          </w:tcPr>
          <w:p>
            <w:pPr>
              <w:spacing w:line="520" w:lineRule="exact"/>
              <w:jc w:val="center"/>
              <w:rPr>
                <w:rFonts w:ascii="宋体"/>
                <w:b/>
                <w:color w:val="auto"/>
                <w:sz w:val="24"/>
                <w:szCs w:val="24"/>
                <w:highlight w:val="none"/>
              </w:rPr>
            </w:pPr>
            <w:r>
              <w:rPr>
                <w:rFonts w:ascii="宋体" w:hAnsi="宋体"/>
                <w:b/>
                <w:color w:val="auto"/>
                <w:sz w:val="24"/>
                <w:szCs w:val="24"/>
                <w:highlight w:val="none"/>
              </w:rPr>
              <w:t>1</w:t>
            </w:r>
          </w:p>
        </w:tc>
        <w:tc>
          <w:tcPr>
            <w:tcW w:w="1591" w:type="dxa"/>
            <w:tcMar>
              <w:top w:w="15" w:type="dxa"/>
              <w:left w:w="15" w:type="dxa"/>
              <w:bottom w:w="15" w:type="dxa"/>
              <w:right w:w="15" w:type="dxa"/>
            </w:tcMar>
            <w:vAlign w:val="center"/>
          </w:tcPr>
          <w:p>
            <w:pPr>
              <w:spacing w:line="520" w:lineRule="exact"/>
              <w:jc w:val="center"/>
              <w:rPr>
                <w:rFonts w:ascii="宋体" w:hAnsi="宋体"/>
                <w:b/>
                <w:color w:val="auto"/>
                <w:sz w:val="24"/>
                <w:szCs w:val="24"/>
                <w:highlight w:val="none"/>
              </w:rPr>
            </w:pPr>
            <w:r>
              <w:rPr>
                <w:rFonts w:hint="eastAsia" w:ascii="宋体" w:hAnsi="宋体"/>
                <w:b/>
                <w:color w:val="auto"/>
                <w:sz w:val="24"/>
                <w:szCs w:val="24"/>
                <w:highlight w:val="none"/>
              </w:rPr>
              <w:t>项目名称</w:t>
            </w:r>
          </w:p>
        </w:tc>
        <w:tc>
          <w:tcPr>
            <w:tcW w:w="4719" w:type="dxa"/>
            <w:tcMar>
              <w:top w:w="15" w:type="dxa"/>
              <w:left w:w="15" w:type="dxa"/>
              <w:bottom w:w="15" w:type="dxa"/>
              <w:right w:w="15" w:type="dxa"/>
            </w:tcMar>
            <w:vAlign w:val="center"/>
          </w:tcPr>
          <w:p>
            <w:pPr>
              <w:snapToGrid w:val="0"/>
              <w:spacing w:before="120" w:line="520" w:lineRule="exact"/>
              <w:rPr>
                <w:rFonts w:hint="eastAsia" w:ascii="宋体" w:hAnsi="宋体" w:eastAsia="宋体"/>
                <w:bCs/>
                <w:color w:val="auto"/>
                <w:sz w:val="24"/>
                <w:szCs w:val="24"/>
                <w:highlight w:val="none"/>
                <w:lang w:eastAsia="zh-CN"/>
              </w:rPr>
            </w:pPr>
            <w:r>
              <w:rPr>
                <w:rFonts w:hint="eastAsia" w:ascii="宋体" w:hAnsi="宋体"/>
                <w:color w:val="auto"/>
                <w:sz w:val="24"/>
                <w:szCs w:val="24"/>
                <w:highlight w:val="none"/>
                <w:lang w:val="en-US" w:eastAsia="zh-CN"/>
              </w:rPr>
              <w:t>舟山市第二人民医院光伏发电建设</w:t>
            </w:r>
            <w:r>
              <w:rPr>
                <w:rFonts w:hint="eastAsia" w:ascii="宋体" w:hAnsi="宋体"/>
                <w:color w:val="auto"/>
                <w:sz w:val="24"/>
                <w:szCs w:val="24"/>
                <w:highlight w:val="none"/>
                <w:lang w:eastAsia="zh-CN"/>
              </w:rPr>
              <w:t>项目</w:t>
            </w:r>
          </w:p>
        </w:tc>
        <w:tc>
          <w:tcPr>
            <w:tcW w:w="1072" w:type="dxa"/>
            <w:tcMar>
              <w:top w:w="15" w:type="dxa"/>
              <w:left w:w="15" w:type="dxa"/>
              <w:bottom w:w="15" w:type="dxa"/>
              <w:right w:w="15" w:type="dxa"/>
            </w:tcMar>
            <w:vAlign w:val="center"/>
          </w:tcPr>
          <w:p>
            <w:pPr>
              <w:spacing w:line="520" w:lineRule="exact"/>
              <w:jc w:val="center"/>
              <w:rPr>
                <w:rFonts w:ascii="宋体" w:hAnsi="宋体"/>
                <w:color w:val="auto"/>
                <w:sz w:val="24"/>
                <w:szCs w:val="24"/>
                <w:highlight w:val="none"/>
              </w:rPr>
            </w:pPr>
            <w:r>
              <w:rPr>
                <w:rFonts w:hint="eastAsia" w:ascii="宋体" w:hAnsi="宋体"/>
                <w:b/>
                <w:color w:val="auto"/>
                <w:sz w:val="24"/>
                <w:szCs w:val="24"/>
                <w:highlight w:val="none"/>
                <w:lang w:val="en-US" w:eastAsia="zh-CN"/>
              </w:rPr>
              <w:t>项目</w:t>
            </w:r>
            <w:r>
              <w:rPr>
                <w:rFonts w:hint="eastAsia" w:ascii="宋体" w:hAnsi="宋体"/>
                <w:b/>
                <w:color w:val="auto"/>
                <w:sz w:val="24"/>
                <w:szCs w:val="24"/>
                <w:highlight w:val="none"/>
              </w:rPr>
              <w:t>编号</w:t>
            </w:r>
          </w:p>
        </w:tc>
        <w:tc>
          <w:tcPr>
            <w:tcW w:w="1950" w:type="dxa"/>
            <w:tcMar>
              <w:top w:w="15" w:type="dxa"/>
              <w:left w:w="15" w:type="dxa"/>
              <w:bottom w:w="15" w:type="dxa"/>
              <w:right w:w="15" w:type="dxa"/>
            </w:tcMar>
            <w:vAlign w:val="center"/>
          </w:tcPr>
          <w:p>
            <w:pPr>
              <w:pStyle w:val="16"/>
              <w:snapToGrid w:val="0"/>
              <w:spacing w:before="120" w:line="520" w:lineRule="exact"/>
              <w:jc w:val="left"/>
              <w:rPr>
                <w:rFonts w:hAnsi="宋体"/>
                <w:color w:val="auto"/>
                <w:kern w:val="2"/>
                <w:sz w:val="24"/>
                <w:szCs w:val="24"/>
                <w:highlight w:val="none"/>
              </w:rPr>
            </w:pPr>
            <w:r>
              <w:rPr>
                <w:rFonts w:hint="eastAsia" w:hAnsi="宋体"/>
                <w:color w:val="auto"/>
                <w:kern w:val="2"/>
                <w:sz w:val="24"/>
                <w:szCs w:val="24"/>
                <w:highlight w:val="none"/>
              </w:rPr>
              <w:t>EYCG-Z.F.C-2025-019</w:t>
            </w:r>
            <w:r>
              <w:rPr>
                <w:rFonts w:hAnsi="宋体"/>
                <w:color w:val="auto"/>
                <w:kern w:val="2"/>
                <w:sz w:val="24"/>
                <w:szCs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8" w:hRule="atLeast"/>
          <w:tblCellSpacing w:w="7" w:type="dxa"/>
          <w:jc w:val="center"/>
        </w:trPr>
        <w:tc>
          <w:tcPr>
            <w:tcW w:w="701" w:type="dxa"/>
            <w:tcMar>
              <w:top w:w="15" w:type="dxa"/>
              <w:left w:w="15" w:type="dxa"/>
              <w:bottom w:w="15" w:type="dxa"/>
              <w:right w:w="15" w:type="dxa"/>
            </w:tcMar>
            <w:vAlign w:val="center"/>
          </w:tcPr>
          <w:p>
            <w:pPr>
              <w:spacing w:line="520" w:lineRule="exact"/>
              <w:jc w:val="center"/>
              <w:rPr>
                <w:rFonts w:ascii="宋体"/>
                <w:b/>
                <w:color w:val="auto"/>
                <w:sz w:val="24"/>
                <w:szCs w:val="24"/>
                <w:highlight w:val="none"/>
              </w:rPr>
            </w:pPr>
            <w:r>
              <w:rPr>
                <w:rFonts w:ascii="宋体" w:hAnsi="宋体"/>
                <w:b/>
                <w:color w:val="auto"/>
                <w:sz w:val="24"/>
                <w:szCs w:val="24"/>
                <w:highlight w:val="none"/>
              </w:rPr>
              <w:t>2</w:t>
            </w:r>
          </w:p>
        </w:tc>
        <w:tc>
          <w:tcPr>
            <w:tcW w:w="1591" w:type="dxa"/>
            <w:tcMar>
              <w:top w:w="15" w:type="dxa"/>
              <w:left w:w="15" w:type="dxa"/>
              <w:bottom w:w="15" w:type="dxa"/>
              <w:right w:w="15" w:type="dxa"/>
            </w:tcMar>
            <w:vAlign w:val="center"/>
          </w:tcPr>
          <w:p>
            <w:pPr>
              <w:spacing w:line="520" w:lineRule="exact"/>
              <w:jc w:val="center"/>
              <w:rPr>
                <w:rFonts w:ascii="宋体" w:hAnsi="宋体"/>
                <w:b/>
                <w:color w:val="auto"/>
                <w:sz w:val="24"/>
                <w:szCs w:val="24"/>
                <w:highlight w:val="none"/>
              </w:rPr>
            </w:pPr>
            <w:r>
              <w:rPr>
                <w:rFonts w:hint="eastAsia" w:ascii="宋体" w:hAnsi="宋体"/>
                <w:b/>
                <w:color w:val="auto"/>
                <w:sz w:val="24"/>
                <w:szCs w:val="24"/>
                <w:highlight w:val="none"/>
              </w:rPr>
              <w:t>采购人名称</w:t>
            </w:r>
          </w:p>
          <w:p>
            <w:pPr>
              <w:spacing w:line="520" w:lineRule="exact"/>
              <w:jc w:val="center"/>
              <w:rPr>
                <w:rFonts w:ascii="宋体"/>
                <w:b/>
                <w:color w:val="auto"/>
                <w:sz w:val="24"/>
                <w:szCs w:val="24"/>
                <w:highlight w:val="none"/>
              </w:rPr>
            </w:pPr>
            <w:r>
              <w:rPr>
                <w:rFonts w:hint="eastAsia" w:ascii="宋体" w:hAnsi="宋体"/>
                <w:b/>
                <w:color w:val="auto"/>
                <w:sz w:val="24"/>
                <w:szCs w:val="24"/>
                <w:highlight w:val="none"/>
                <w:lang w:val="en-US" w:eastAsia="zh-CN"/>
              </w:rPr>
              <w:t>采购</w:t>
            </w:r>
            <w:r>
              <w:rPr>
                <w:rFonts w:hint="eastAsia" w:ascii="宋体" w:hAnsi="宋体"/>
                <w:b/>
                <w:color w:val="auto"/>
                <w:sz w:val="24"/>
                <w:szCs w:val="24"/>
                <w:highlight w:val="none"/>
              </w:rPr>
              <w:t>内容</w:t>
            </w:r>
          </w:p>
        </w:tc>
        <w:tc>
          <w:tcPr>
            <w:tcW w:w="7769" w:type="dxa"/>
            <w:gridSpan w:val="3"/>
            <w:tcMar>
              <w:top w:w="15" w:type="dxa"/>
              <w:left w:w="15" w:type="dxa"/>
              <w:bottom w:w="15" w:type="dxa"/>
              <w:right w:w="15" w:type="dxa"/>
            </w:tcMar>
            <w:vAlign w:val="center"/>
          </w:tcPr>
          <w:p>
            <w:pPr>
              <w:spacing w:line="520" w:lineRule="exact"/>
              <w:rPr>
                <w:rFonts w:hint="eastAsia" w:ascii="宋体" w:hAnsi="宋体" w:eastAsia="宋体"/>
                <w:bCs/>
                <w:color w:val="auto"/>
                <w:sz w:val="24"/>
                <w:szCs w:val="24"/>
                <w:highlight w:val="none"/>
                <w:lang w:val="en-US" w:eastAsia="zh-CN"/>
              </w:rPr>
            </w:pPr>
            <w:r>
              <w:rPr>
                <w:rFonts w:hint="eastAsia" w:ascii="宋体" w:hAnsi="宋体" w:eastAsia="宋体"/>
                <w:bCs/>
                <w:color w:val="auto"/>
                <w:sz w:val="24"/>
                <w:szCs w:val="24"/>
                <w:highlight w:val="none"/>
                <w:lang w:val="en-US" w:eastAsia="zh-CN"/>
              </w:rPr>
              <w:t>舟山市第二人民医院</w:t>
            </w:r>
          </w:p>
          <w:p>
            <w:pPr>
              <w:spacing w:line="520" w:lineRule="exact"/>
              <w:rPr>
                <w:rFonts w:ascii="宋体"/>
                <w:color w:val="auto"/>
                <w:sz w:val="24"/>
                <w:szCs w:val="24"/>
                <w:highlight w:val="none"/>
                <w:lang w:val="zh-CN"/>
              </w:rPr>
            </w:pPr>
            <w:r>
              <w:rPr>
                <w:rFonts w:hint="eastAsia" w:ascii="宋体" w:hAnsi="宋体"/>
                <w:color w:val="auto"/>
                <w:sz w:val="24"/>
                <w:szCs w:val="24"/>
                <w:highlight w:val="none"/>
                <w:lang w:val="zh-CN" w:eastAsia="zh-CN"/>
              </w:rPr>
              <w:t>分布式光伏项目</w:t>
            </w:r>
            <w:r>
              <w:rPr>
                <w:rFonts w:hint="eastAsia" w:ascii="宋体" w:hAnsi="宋体"/>
                <w:color w:val="auto"/>
                <w:sz w:val="24"/>
                <w:szCs w:val="24"/>
                <w:highlight w:val="none"/>
                <w:lang w:val="zh-CN"/>
              </w:rPr>
              <w:t xml:space="preserve">具体详见“第二章  </w:t>
            </w:r>
            <w:r>
              <w:rPr>
                <w:rFonts w:hint="eastAsia" w:ascii="宋体" w:hAnsi="宋体"/>
                <w:color w:val="auto"/>
                <w:sz w:val="24"/>
                <w:szCs w:val="24"/>
                <w:highlight w:val="none"/>
                <w:lang w:val="en-US" w:eastAsia="zh-CN"/>
              </w:rPr>
              <w:t>采购</w:t>
            </w:r>
            <w:r>
              <w:rPr>
                <w:rFonts w:hint="eastAsia" w:ascii="宋体" w:hAnsi="宋体"/>
                <w:color w:val="auto"/>
                <w:sz w:val="24"/>
                <w:szCs w:val="24"/>
                <w:highlight w:val="none"/>
                <w:lang w:val="zh-CN"/>
              </w:rPr>
              <w:t>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7" w:hRule="atLeast"/>
          <w:tblCellSpacing w:w="7" w:type="dxa"/>
          <w:jc w:val="center"/>
        </w:trPr>
        <w:tc>
          <w:tcPr>
            <w:tcW w:w="701" w:type="dxa"/>
            <w:tcMar>
              <w:top w:w="15" w:type="dxa"/>
              <w:left w:w="15" w:type="dxa"/>
              <w:bottom w:w="15" w:type="dxa"/>
              <w:right w:w="15" w:type="dxa"/>
            </w:tcMar>
            <w:vAlign w:val="center"/>
          </w:tcPr>
          <w:p>
            <w:pPr>
              <w:spacing w:line="520" w:lineRule="exact"/>
              <w:jc w:val="center"/>
              <w:rPr>
                <w:rFonts w:ascii="宋体" w:hAnsi="宋体"/>
                <w:b/>
                <w:color w:val="auto"/>
                <w:sz w:val="24"/>
                <w:szCs w:val="24"/>
                <w:highlight w:val="none"/>
              </w:rPr>
            </w:pPr>
            <w:r>
              <w:rPr>
                <w:rFonts w:hint="eastAsia" w:ascii="宋体" w:hAnsi="宋体"/>
                <w:b/>
                <w:color w:val="auto"/>
                <w:sz w:val="24"/>
                <w:szCs w:val="24"/>
                <w:highlight w:val="none"/>
              </w:rPr>
              <w:t>3</w:t>
            </w:r>
          </w:p>
        </w:tc>
        <w:tc>
          <w:tcPr>
            <w:tcW w:w="1591" w:type="dxa"/>
            <w:tcMar>
              <w:top w:w="15" w:type="dxa"/>
              <w:left w:w="15" w:type="dxa"/>
              <w:bottom w:w="15" w:type="dxa"/>
              <w:right w:w="15" w:type="dxa"/>
            </w:tcMar>
            <w:vAlign w:val="center"/>
          </w:tcPr>
          <w:p>
            <w:pPr>
              <w:overflowPunct w:val="0"/>
              <w:spacing w:line="520" w:lineRule="exact"/>
              <w:jc w:val="center"/>
              <w:rPr>
                <w:rFonts w:ascii="宋体" w:hAnsi="宋体"/>
                <w:color w:val="auto"/>
                <w:sz w:val="24"/>
                <w:szCs w:val="24"/>
                <w:highlight w:val="none"/>
              </w:rPr>
            </w:pPr>
            <w:r>
              <w:rPr>
                <w:rFonts w:hint="eastAsia" w:ascii="宋体" w:hAnsi="宋体"/>
                <w:color w:val="auto"/>
                <w:sz w:val="24"/>
                <w:szCs w:val="24"/>
                <w:highlight w:val="none"/>
                <w:lang w:val="en-US" w:eastAsia="zh-CN"/>
              </w:rPr>
              <w:t>磋商</w:t>
            </w:r>
            <w:r>
              <w:rPr>
                <w:rFonts w:hint="eastAsia" w:ascii="宋体" w:hAnsi="宋体"/>
                <w:color w:val="auto"/>
                <w:sz w:val="24"/>
                <w:szCs w:val="24"/>
                <w:highlight w:val="none"/>
              </w:rPr>
              <w:t>报价及费用</w:t>
            </w:r>
          </w:p>
          <w:p>
            <w:pPr>
              <w:spacing w:line="520" w:lineRule="exact"/>
              <w:jc w:val="center"/>
              <w:rPr>
                <w:rFonts w:ascii="宋体" w:hAnsi="宋体"/>
                <w:b/>
                <w:color w:val="auto"/>
                <w:sz w:val="24"/>
                <w:szCs w:val="24"/>
                <w:highlight w:val="none"/>
              </w:rPr>
            </w:pPr>
          </w:p>
        </w:tc>
        <w:tc>
          <w:tcPr>
            <w:tcW w:w="7769" w:type="dxa"/>
            <w:gridSpan w:val="3"/>
            <w:tcMar>
              <w:top w:w="15" w:type="dxa"/>
              <w:left w:w="15" w:type="dxa"/>
              <w:bottom w:w="15" w:type="dxa"/>
              <w:right w:w="15" w:type="dxa"/>
            </w:tcMar>
            <w:vAlign w:val="center"/>
          </w:tcPr>
          <w:p>
            <w:pPr>
              <w:overflowPunct w:val="0"/>
              <w:spacing w:line="520" w:lineRule="exact"/>
              <w:rPr>
                <w:rFonts w:ascii="宋体" w:hAnsi="宋体" w:cs="Arial"/>
                <w:color w:val="auto"/>
                <w:sz w:val="24"/>
                <w:szCs w:val="24"/>
                <w:highlight w:val="none"/>
              </w:rPr>
            </w:pPr>
            <w:r>
              <w:rPr>
                <w:rFonts w:ascii="宋体" w:hAnsi="宋体" w:cs="Arial"/>
                <w:color w:val="auto"/>
                <w:sz w:val="24"/>
                <w:szCs w:val="24"/>
                <w:highlight w:val="none"/>
              </w:rPr>
              <w:t>1</w:t>
            </w:r>
            <w:r>
              <w:rPr>
                <w:rFonts w:hint="eastAsia" w:ascii="宋体" w:hAnsi="宋体" w:cs="Arial"/>
                <w:color w:val="auto"/>
                <w:sz w:val="24"/>
                <w:szCs w:val="24"/>
                <w:highlight w:val="none"/>
              </w:rPr>
              <w:t>、</w:t>
            </w:r>
            <w:r>
              <w:rPr>
                <w:rFonts w:hint="eastAsia" w:ascii="宋体" w:hAnsi="宋体" w:cs="Arial"/>
                <w:bCs/>
                <w:color w:val="auto"/>
                <w:sz w:val="24"/>
                <w:szCs w:val="24"/>
                <w:highlight w:val="none"/>
              </w:rPr>
              <w:t>本项目报价应包含完成本项目的所有费用。</w:t>
            </w:r>
          </w:p>
          <w:p>
            <w:pPr>
              <w:overflowPunct w:val="0"/>
              <w:spacing w:line="520" w:lineRule="exact"/>
              <w:rPr>
                <w:rFonts w:ascii="宋体" w:hAnsi="宋体"/>
                <w:color w:val="auto"/>
                <w:sz w:val="24"/>
                <w:szCs w:val="24"/>
                <w:highlight w:val="none"/>
              </w:rPr>
            </w:pPr>
            <w:r>
              <w:rPr>
                <w:rFonts w:hint="eastAsia" w:ascii="宋体" w:hAnsi="宋体"/>
                <w:b/>
                <w:color w:val="auto"/>
                <w:sz w:val="24"/>
                <w:szCs w:val="24"/>
                <w:highlight w:val="none"/>
              </w:rPr>
              <w:t>★</w:t>
            </w:r>
            <w:r>
              <w:rPr>
                <w:rFonts w:ascii="宋体" w:hAnsi="宋体" w:cs="Arial"/>
                <w:color w:val="auto"/>
                <w:sz w:val="24"/>
                <w:szCs w:val="24"/>
                <w:highlight w:val="none"/>
              </w:rPr>
              <w:t>2</w:t>
            </w: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本项目的</w:t>
            </w:r>
            <w:r>
              <w:rPr>
                <w:rFonts w:hint="eastAsia" w:ascii="宋体" w:hAnsi="宋体" w:cs="Arial"/>
                <w:bCs/>
                <w:color w:val="auto"/>
                <w:sz w:val="24"/>
                <w:szCs w:val="24"/>
                <w:highlight w:val="none"/>
              </w:rPr>
              <w:t>最高限价为电网电价优惠折扣的光伏电价每度0.</w:t>
            </w:r>
            <w:r>
              <w:rPr>
                <w:rFonts w:hint="eastAsia" w:ascii="宋体" w:hAnsi="宋体" w:cs="Arial"/>
                <w:bCs/>
                <w:color w:val="auto"/>
                <w:sz w:val="24"/>
                <w:szCs w:val="24"/>
                <w:highlight w:val="none"/>
                <w:lang w:val="en-US" w:eastAsia="zh-CN"/>
              </w:rPr>
              <w:t>43</w:t>
            </w:r>
            <w:r>
              <w:rPr>
                <w:rFonts w:hint="eastAsia" w:ascii="宋体" w:hAnsi="宋体" w:cs="Arial"/>
                <w:bCs/>
                <w:color w:val="auto"/>
                <w:sz w:val="24"/>
                <w:szCs w:val="24"/>
                <w:highlight w:val="none"/>
              </w:rPr>
              <w:t xml:space="preserve">元 </w:t>
            </w:r>
            <w:r>
              <w:rPr>
                <w:rFonts w:hint="eastAsia" w:ascii="宋体" w:hAnsi="宋体" w:cs="Arial"/>
                <w:bCs/>
                <w:color w:val="auto"/>
                <w:sz w:val="24"/>
                <w:szCs w:val="24"/>
                <w:highlight w:val="none"/>
                <w:lang w:eastAsia="zh-CN"/>
              </w:rPr>
              <w:t>，</w:t>
            </w:r>
            <w:r>
              <w:rPr>
                <w:rFonts w:hint="eastAsia" w:ascii="宋体" w:hAnsi="宋体" w:cs="Arial"/>
                <w:bCs/>
                <w:color w:val="auto"/>
                <w:sz w:val="24"/>
                <w:szCs w:val="24"/>
                <w:highlight w:val="none"/>
              </w:rPr>
              <w:t>任何超过</w:t>
            </w:r>
            <w:r>
              <w:rPr>
                <w:rFonts w:hint="eastAsia" w:ascii="宋体" w:hAnsi="宋体" w:cs="Arial"/>
                <w:bCs/>
                <w:color w:val="auto"/>
                <w:sz w:val="24"/>
                <w:szCs w:val="24"/>
                <w:highlight w:val="none"/>
                <w:lang w:val="en-US" w:eastAsia="zh-CN"/>
              </w:rPr>
              <w:t>最高限价</w:t>
            </w:r>
            <w:r>
              <w:rPr>
                <w:rFonts w:hint="eastAsia" w:ascii="宋体" w:hAnsi="宋体" w:cs="Arial"/>
                <w:bCs/>
                <w:color w:val="auto"/>
                <w:sz w:val="24"/>
                <w:szCs w:val="24"/>
                <w:highlight w:val="none"/>
              </w:rPr>
              <w:t>的报价将被认定为无效报价。</w:t>
            </w:r>
          </w:p>
          <w:p>
            <w:pPr>
              <w:overflowPunct w:val="0"/>
              <w:spacing w:line="520" w:lineRule="exact"/>
              <w:rPr>
                <w:rFonts w:ascii="宋体" w:hAnsi="宋体"/>
                <w:color w:val="auto"/>
                <w:sz w:val="24"/>
                <w:szCs w:val="24"/>
                <w:highlight w:val="none"/>
              </w:rPr>
            </w:pPr>
            <w:r>
              <w:rPr>
                <w:rFonts w:hint="eastAsia" w:ascii="宋体" w:hAnsi="宋体"/>
                <w:color w:val="auto"/>
                <w:sz w:val="24"/>
                <w:szCs w:val="24"/>
                <w:highlight w:val="none"/>
              </w:rPr>
              <w:t>3、本项目投标应以人民币报价。</w:t>
            </w:r>
          </w:p>
          <w:p>
            <w:pPr>
              <w:spacing w:line="520" w:lineRule="exact"/>
              <w:rPr>
                <w:rFonts w:hAnsi="宋体"/>
                <w:color w:val="auto"/>
                <w:sz w:val="24"/>
                <w:szCs w:val="24"/>
                <w:highlight w:val="none"/>
              </w:rPr>
            </w:pPr>
            <w:r>
              <w:rPr>
                <w:rFonts w:hint="eastAsia" w:ascii="宋体" w:hAnsi="宋体"/>
                <w:color w:val="auto"/>
                <w:sz w:val="24"/>
                <w:szCs w:val="24"/>
                <w:highlight w:val="none"/>
              </w:rPr>
              <w:t>4、不论投标结果如何，</w:t>
            </w:r>
            <w:r>
              <w:rPr>
                <w:rFonts w:hint="eastAsia" w:ascii="宋体" w:hAnsi="宋体"/>
                <w:color w:val="auto"/>
                <w:sz w:val="24"/>
                <w:szCs w:val="24"/>
                <w:highlight w:val="none"/>
                <w:lang w:val="en-US" w:eastAsia="zh-CN"/>
              </w:rPr>
              <w:t>响应人</w:t>
            </w:r>
            <w:r>
              <w:rPr>
                <w:rFonts w:hint="eastAsia" w:ascii="宋体" w:hAnsi="宋体"/>
                <w:color w:val="auto"/>
                <w:sz w:val="24"/>
                <w:szCs w:val="24"/>
                <w:highlight w:val="none"/>
              </w:rPr>
              <w:t>均应自行承担所有与投标有关的费用。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15" w:hRule="atLeast"/>
          <w:tblCellSpacing w:w="7" w:type="dxa"/>
          <w:jc w:val="center"/>
        </w:trPr>
        <w:tc>
          <w:tcPr>
            <w:tcW w:w="701" w:type="dxa"/>
            <w:tcMar>
              <w:top w:w="15" w:type="dxa"/>
              <w:left w:w="15" w:type="dxa"/>
              <w:bottom w:w="15" w:type="dxa"/>
              <w:right w:w="15" w:type="dxa"/>
            </w:tcMar>
            <w:vAlign w:val="center"/>
          </w:tcPr>
          <w:p>
            <w:pPr>
              <w:snapToGrid w:val="0"/>
              <w:spacing w:line="520" w:lineRule="exact"/>
              <w:jc w:val="center"/>
              <w:rPr>
                <w:rFonts w:ascii="宋体" w:hAnsi="宋体"/>
                <w:color w:val="auto"/>
                <w:sz w:val="24"/>
                <w:szCs w:val="24"/>
                <w:highlight w:val="none"/>
              </w:rPr>
            </w:pPr>
            <w:r>
              <w:rPr>
                <w:rFonts w:hint="eastAsia" w:ascii="宋体" w:hAnsi="宋体"/>
                <w:color w:val="auto"/>
                <w:sz w:val="24"/>
                <w:szCs w:val="24"/>
                <w:highlight w:val="none"/>
              </w:rPr>
              <w:t>4</w:t>
            </w:r>
          </w:p>
        </w:tc>
        <w:tc>
          <w:tcPr>
            <w:tcW w:w="1591" w:type="dxa"/>
            <w:tcMar>
              <w:top w:w="15" w:type="dxa"/>
              <w:left w:w="15" w:type="dxa"/>
              <w:bottom w:w="15" w:type="dxa"/>
              <w:right w:w="15" w:type="dxa"/>
            </w:tcMar>
            <w:vAlign w:val="center"/>
          </w:tcPr>
          <w:p>
            <w:pPr>
              <w:snapToGrid w:val="0"/>
              <w:spacing w:line="520" w:lineRule="exact"/>
              <w:jc w:val="center"/>
              <w:rPr>
                <w:rFonts w:ascii="宋体" w:hAnsi="宋体"/>
                <w:color w:val="auto"/>
                <w:sz w:val="24"/>
                <w:szCs w:val="24"/>
                <w:highlight w:val="none"/>
              </w:rPr>
            </w:pPr>
            <w:r>
              <w:rPr>
                <w:rFonts w:hint="eastAsia" w:ascii="宋体" w:hAnsi="宋体"/>
                <w:color w:val="auto"/>
                <w:sz w:val="24"/>
                <w:szCs w:val="24"/>
                <w:highlight w:val="none"/>
              </w:rPr>
              <w:t>答疑与澄清</w:t>
            </w:r>
          </w:p>
        </w:tc>
        <w:tc>
          <w:tcPr>
            <w:tcW w:w="7769" w:type="dxa"/>
            <w:gridSpan w:val="3"/>
            <w:tcMar>
              <w:top w:w="15" w:type="dxa"/>
              <w:left w:w="15" w:type="dxa"/>
              <w:bottom w:w="15" w:type="dxa"/>
              <w:right w:w="15" w:type="dxa"/>
            </w:tcMar>
            <w:vAlign w:val="center"/>
          </w:tcPr>
          <w:p>
            <w:pPr>
              <w:snapToGrid w:val="0"/>
              <w:spacing w:line="520" w:lineRule="exact"/>
              <w:jc w:val="left"/>
              <w:rPr>
                <w:rFonts w:ascii="宋体" w:hAnsi="宋体" w:cs="Arial"/>
                <w:bCs/>
                <w:color w:val="auto"/>
                <w:sz w:val="24"/>
                <w:szCs w:val="24"/>
                <w:highlight w:val="none"/>
              </w:rPr>
            </w:pPr>
            <w:r>
              <w:rPr>
                <w:rFonts w:hint="eastAsia" w:ascii="宋体" w:hAnsi="宋体" w:cs="Arial"/>
                <w:bCs/>
                <w:color w:val="auto"/>
                <w:sz w:val="24"/>
                <w:szCs w:val="24"/>
                <w:highlight w:val="none"/>
                <w:lang w:val="zh-TW"/>
              </w:rPr>
              <w:t>如发现</w:t>
            </w:r>
            <w:r>
              <w:rPr>
                <w:rFonts w:hint="eastAsia" w:ascii="宋体" w:hAnsi="宋体" w:cs="Arial"/>
                <w:bCs/>
                <w:color w:val="auto"/>
                <w:sz w:val="24"/>
                <w:szCs w:val="24"/>
                <w:highlight w:val="none"/>
              </w:rPr>
              <w:t>磋商</w:t>
            </w:r>
            <w:r>
              <w:rPr>
                <w:rFonts w:hint="eastAsia" w:ascii="宋体" w:hAnsi="宋体" w:cs="Arial"/>
                <w:bCs/>
                <w:color w:val="auto"/>
                <w:sz w:val="24"/>
                <w:szCs w:val="24"/>
                <w:highlight w:val="none"/>
                <w:lang w:val="zh-TW"/>
              </w:rPr>
              <w:t>文件及其评标办法中存在表述疑异、相互矛盾、多种含义以及歧视性不公正条款或违法违规等内容时，请在收到</w:t>
            </w:r>
            <w:r>
              <w:rPr>
                <w:rFonts w:hint="eastAsia" w:ascii="宋体" w:hAnsi="宋体" w:cs="Arial"/>
                <w:bCs/>
                <w:color w:val="auto"/>
                <w:sz w:val="24"/>
                <w:szCs w:val="24"/>
                <w:highlight w:val="none"/>
              </w:rPr>
              <w:t>磋商</w:t>
            </w:r>
            <w:r>
              <w:rPr>
                <w:rFonts w:hint="eastAsia" w:ascii="宋体" w:hAnsi="宋体" w:cs="Arial"/>
                <w:bCs/>
                <w:color w:val="auto"/>
                <w:sz w:val="24"/>
                <w:szCs w:val="24"/>
                <w:highlight w:val="none"/>
                <w:lang w:val="zh-TW"/>
              </w:rPr>
              <w:t>文件3日内同时向采购人、采购代理机构书面反映， 逾期不得再对</w:t>
            </w:r>
            <w:r>
              <w:rPr>
                <w:rFonts w:hint="eastAsia" w:ascii="宋体" w:hAnsi="宋体" w:cs="Arial"/>
                <w:bCs/>
                <w:color w:val="auto"/>
                <w:sz w:val="24"/>
                <w:szCs w:val="24"/>
                <w:highlight w:val="none"/>
              </w:rPr>
              <w:t>磋商</w:t>
            </w:r>
            <w:r>
              <w:rPr>
                <w:rFonts w:hint="eastAsia" w:ascii="宋体" w:hAnsi="宋体" w:cs="Arial"/>
                <w:bCs/>
                <w:color w:val="auto"/>
                <w:sz w:val="24"/>
                <w:szCs w:val="24"/>
                <w:highlight w:val="none"/>
                <w:lang w:val="zh-TW"/>
              </w:rPr>
              <w:t>文件的条款提出质疑。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7" w:hRule="atLeast"/>
          <w:tblCellSpacing w:w="7" w:type="dxa"/>
          <w:jc w:val="center"/>
        </w:trPr>
        <w:tc>
          <w:tcPr>
            <w:tcW w:w="701" w:type="dxa"/>
            <w:tcMar>
              <w:top w:w="15" w:type="dxa"/>
              <w:left w:w="15" w:type="dxa"/>
              <w:bottom w:w="15" w:type="dxa"/>
              <w:right w:w="15" w:type="dxa"/>
            </w:tcMar>
            <w:vAlign w:val="center"/>
          </w:tcPr>
          <w:p>
            <w:pPr>
              <w:snapToGrid w:val="0"/>
              <w:spacing w:line="520" w:lineRule="exact"/>
              <w:jc w:val="center"/>
              <w:rPr>
                <w:rFonts w:ascii="宋体" w:hAnsi="宋体"/>
                <w:b/>
                <w:color w:val="auto"/>
                <w:sz w:val="24"/>
                <w:szCs w:val="24"/>
                <w:highlight w:val="none"/>
              </w:rPr>
            </w:pPr>
            <w:r>
              <w:rPr>
                <w:rFonts w:hint="eastAsia" w:ascii="宋体" w:hAnsi="宋体"/>
                <w:b/>
                <w:color w:val="auto"/>
                <w:sz w:val="24"/>
                <w:szCs w:val="24"/>
                <w:highlight w:val="none"/>
              </w:rPr>
              <w:t>5</w:t>
            </w:r>
          </w:p>
        </w:tc>
        <w:tc>
          <w:tcPr>
            <w:tcW w:w="1591" w:type="dxa"/>
            <w:tcMar>
              <w:top w:w="15" w:type="dxa"/>
              <w:left w:w="15" w:type="dxa"/>
              <w:bottom w:w="15" w:type="dxa"/>
              <w:right w:w="15" w:type="dxa"/>
            </w:tcMar>
            <w:vAlign w:val="center"/>
          </w:tcPr>
          <w:p>
            <w:pPr>
              <w:snapToGrid w:val="0"/>
              <w:spacing w:line="520" w:lineRule="exact"/>
              <w:jc w:val="center"/>
              <w:rPr>
                <w:rFonts w:ascii="宋体" w:hAnsi="宋体"/>
                <w:b/>
                <w:color w:val="auto"/>
                <w:sz w:val="24"/>
                <w:szCs w:val="24"/>
                <w:highlight w:val="none"/>
              </w:rPr>
            </w:pPr>
            <w:r>
              <w:rPr>
                <w:rFonts w:hint="eastAsia" w:ascii="宋体" w:hAnsi="宋体"/>
                <w:b/>
                <w:color w:val="auto"/>
                <w:sz w:val="24"/>
                <w:szCs w:val="24"/>
                <w:highlight w:val="none"/>
                <w:lang w:val="en-US" w:eastAsia="zh-CN"/>
              </w:rPr>
              <w:t>磋商响应</w:t>
            </w:r>
            <w:r>
              <w:rPr>
                <w:rFonts w:hint="eastAsia" w:ascii="宋体" w:hAnsi="宋体"/>
                <w:b/>
                <w:color w:val="auto"/>
                <w:sz w:val="24"/>
                <w:szCs w:val="24"/>
                <w:highlight w:val="none"/>
              </w:rPr>
              <w:t>文件组成</w:t>
            </w:r>
          </w:p>
        </w:tc>
        <w:tc>
          <w:tcPr>
            <w:tcW w:w="7769" w:type="dxa"/>
            <w:gridSpan w:val="3"/>
            <w:tcMar>
              <w:top w:w="15" w:type="dxa"/>
              <w:left w:w="15" w:type="dxa"/>
              <w:bottom w:w="15" w:type="dxa"/>
              <w:right w:w="15" w:type="dxa"/>
            </w:tcMar>
            <w:vAlign w:val="center"/>
          </w:tcPr>
          <w:p>
            <w:pPr>
              <w:autoSpaceDE w:val="0"/>
              <w:autoSpaceDN w:val="0"/>
              <w:snapToGrid w:val="0"/>
              <w:spacing w:line="520" w:lineRule="exact"/>
              <w:textAlignment w:val="bottom"/>
              <w:rPr>
                <w:rFonts w:ascii="宋体" w:hAnsi="宋体"/>
                <w:b/>
                <w:color w:val="auto"/>
                <w:sz w:val="24"/>
                <w:szCs w:val="24"/>
                <w:highlight w:val="none"/>
              </w:rPr>
            </w:pPr>
            <w:r>
              <w:rPr>
                <w:rFonts w:hint="eastAsia" w:ascii="宋体" w:hAnsi="宋体"/>
                <w:b/>
                <w:color w:val="auto"/>
                <w:sz w:val="24"/>
                <w:szCs w:val="24"/>
                <w:highlight w:val="none"/>
                <w:lang w:val="zh-TW"/>
              </w:rPr>
              <w:t>磋商报价文件、资格证明文件、商务技术文件（</w:t>
            </w:r>
            <w:r>
              <w:rPr>
                <w:rFonts w:hint="eastAsia" w:ascii="宋体" w:hAnsi="宋体"/>
                <w:b/>
                <w:color w:val="auto"/>
                <w:sz w:val="24"/>
                <w:szCs w:val="24"/>
                <w:highlight w:val="none"/>
              </w:rPr>
              <w:t>三份文件都是</w:t>
            </w:r>
            <w:r>
              <w:rPr>
                <w:rFonts w:hint="eastAsia" w:ascii="宋体" w:hAnsi="宋体"/>
                <w:b/>
                <w:color w:val="auto"/>
                <w:sz w:val="24"/>
                <w:szCs w:val="24"/>
                <w:highlight w:val="none"/>
                <w:lang w:val="zh-TW"/>
              </w:rPr>
              <w:t>正本一份、副本四份）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7" w:hRule="atLeast"/>
          <w:tblCellSpacing w:w="7" w:type="dxa"/>
          <w:jc w:val="center"/>
        </w:trPr>
        <w:tc>
          <w:tcPr>
            <w:tcW w:w="701" w:type="dxa"/>
            <w:tcMar>
              <w:top w:w="15" w:type="dxa"/>
              <w:left w:w="15" w:type="dxa"/>
              <w:bottom w:w="15" w:type="dxa"/>
              <w:right w:w="15" w:type="dxa"/>
            </w:tcMar>
            <w:vAlign w:val="center"/>
          </w:tcPr>
          <w:p>
            <w:pPr>
              <w:snapToGrid w:val="0"/>
              <w:spacing w:line="520" w:lineRule="exact"/>
              <w:jc w:val="center"/>
              <w:rPr>
                <w:rFonts w:ascii="宋体" w:hAnsi="宋体"/>
                <w:color w:val="auto"/>
                <w:sz w:val="24"/>
                <w:szCs w:val="24"/>
                <w:highlight w:val="none"/>
              </w:rPr>
            </w:pPr>
            <w:r>
              <w:rPr>
                <w:rFonts w:hint="eastAsia" w:ascii="宋体" w:hAnsi="宋体"/>
                <w:color w:val="auto"/>
                <w:sz w:val="24"/>
                <w:szCs w:val="24"/>
                <w:highlight w:val="none"/>
              </w:rPr>
              <w:t>6</w:t>
            </w:r>
          </w:p>
        </w:tc>
        <w:tc>
          <w:tcPr>
            <w:tcW w:w="1591" w:type="dxa"/>
            <w:tcMar>
              <w:top w:w="15" w:type="dxa"/>
              <w:left w:w="15" w:type="dxa"/>
              <w:bottom w:w="15" w:type="dxa"/>
              <w:right w:w="15" w:type="dxa"/>
            </w:tcMar>
            <w:vAlign w:val="center"/>
          </w:tcPr>
          <w:p>
            <w:pPr>
              <w:snapToGrid w:val="0"/>
              <w:spacing w:line="520" w:lineRule="exact"/>
              <w:jc w:val="center"/>
              <w:rPr>
                <w:rFonts w:ascii="宋体" w:hAnsi="宋体"/>
                <w:color w:val="auto"/>
                <w:sz w:val="24"/>
                <w:szCs w:val="24"/>
                <w:highlight w:val="none"/>
              </w:rPr>
            </w:pPr>
            <w:r>
              <w:rPr>
                <w:rFonts w:hint="eastAsia" w:ascii="宋体" w:hAnsi="宋体"/>
                <w:color w:val="auto"/>
                <w:sz w:val="24"/>
                <w:szCs w:val="24"/>
                <w:highlight w:val="none"/>
              </w:rPr>
              <w:t>磋商响应文件提交地点以及开标地点</w:t>
            </w:r>
          </w:p>
        </w:tc>
        <w:tc>
          <w:tcPr>
            <w:tcW w:w="7769" w:type="dxa"/>
            <w:gridSpan w:val="3"/>
            <w:tcMar>
              <w:top w:w="15" w:type="dxa"/>
              <w:left w:w="15" w:type="dxa"/>
              <w:bottom w:w="15" w:type="dxa"/>
              <w:right w:w="15" w:type="dxa"/>
            </w:tcMar>
            <w:vAlign w:val="center"/>
          </w:tcPr>
          <w:p>
            <w:pPr>
              <w:snapToGrid w:val="0"/>
              <w:spacing w:line="520" w:lineRule="exact"/>
              <w:rPr>
                <w:rFonts w:ascii="宋体" w:hAnsi="宋体"/>
                <w:color w:val="auto"/>
                <w:sz w:val="24"/>
                <w:szCs w:val="24"/>
                <w:highlight w:val="none"/>
              </w:rPr>
            </w:pPr>
            <w:r>
              <w:rPr>
                <w:rFonts w:hint="eastAsia" w:ascii="宋体" w:hAnsi="宋体"/>
                <w:color w:val="auto"/>
                <w:sz w:val="24"/>
                <w:szCs w:val="24"/>
                <w:highlight w:val="none"/>
              </w:rPr>
              <w:t>舟山市第二人民医院门诊楼316评标室（舟山市定海区千岛街道鼓吹山路29号）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7" w:hRule="atLeast"/>
          <w:tblCellSpacing w:w="7" w:type="dxa"/>
          <w:jc w:val="center"/>
        </w:trPr>
        <w:tc>
          <w:tcPr>
            <w:tcW w:w="701" w:type="dxa"/>
            <w:tcMar>
              <w:top w:w="15" w:type="dxa"/>
              <w:left w:w="15" w:type="dxa"/>
              <w:bottom w:w="15" w:type="dxa"/>
              <w:right w:w="15" w:type="dxa"/>
            </w:tcMar>
            <w:vAlign w:val="center"/>
          </w:tcPr>
          <w:p>
            <w:pPr>
              <w:snapToGrid w:val="0"/>
              <w:spacing w:line="520" w:lineRule="exact"/>
              <w:jc w:val="center"/>
              <w:rPr>
                <w:rFonts w:ascii="宋体" w:hAnsi="宋体"/>
                <w:color w:val="auto"/>
                <w:sz w:val="24"/>
                <w:szCs w:val="24"/>
                <w:highlight w:val="none"/>
              </w:rPr>
            </w:pPr>
            <w:r>
              <w:rPr>
                <w:rFonts w:hint="eastAsia" w:ascii="宋体" w:hAnsi="宋体"/>
                <w:color w:val="auto"/>
                <w:sz w:val="24"/>
                <w:szCs w:val="24"/>
                <w:highlight w:val="none"/>
              </w:rPr>
              <w:t>7</w:t>
            </w:r>
          </w:p>
        </w:tc>
        <w:tc>
          <w:tcPr>
            <w:tcW w:w="1591" w:type="dxa"/>
            <w:tcMar>
              <w:top w:w="15" w:type="dxa"/>
              <w:left w:w="15" w:type="dxa"/>
              <w:bottom w:w="15" w:type="dxa"/>
              <w:right w:w="15" w:type="dxa"/>
            </w:tcMar>
            <w:vAlign w:val="center"/>
          </w:tcPr>
          <w:p>
            <w:pPr>
              <w:snapToGrid w:val="0"/>
              <w:spacing w:line="520" w:lineRule="exact"/>
              <w:jc w:val="center"/>
              <w:rPr>
                <w:rFonts w:ascii="宋体" w:hAnsi="宋体"/>
                <w:color w:val="auto"/>
                <w:sz w:val="24"/>
                <w:szCs w:val="24"/>
                <w:highlight w:val="none"/>
              </w:rPr>
            </w:pPr>
            <w:r>
              <w:rPr>
                <w:rFonts w:hint="eastAsia" w:ascii="宋体" w:hAnsi="宋体"/>
                <w:color w:val="auto"/>
                <w:sz w:val="24"/>
                <w:szCs w:val="24"/>
                <w:highlight w:val="none"/>
              </w:rPr>
              <w:t>磋商响应文件提交截止时间以及开标时间</w:t>
            </w:r>
          </w:p>
        </w:tc>
        <w:tc>
          <w:tcPr>
            <w:tcW w:w="7769" w:type="dxa"/>
            <w:gridSpan w:val="3"/>
            <w:tcMar>
              <w:top w:w="15" w:type="dxa"/>
              <w:left w:w="15" w:type="dxa"/>
              <w:bottom w:w="15" w:type="dxa"/>
              <w:right w:w="15" w:type="dxa"/>
            </w:tcMar>
            <w:vAlign w:val="center"/>
          </w:tcPr>
          <w:p>
            <w:pPr>
              <w:snapToGrid w:val="0"/>
              <w:spacing w:line="520" w:lineRule="exact"/>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02</w:t>
            </w: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6</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10</w:t>
            </w:r>
            <w:r>
              <w:rPr>
                <w:rFonts w:hint="eastAsia" w:ascii="宋体" w:hAnsi="宋体"/>
                <w:color w:val="auto"/>
                <w:sz w:val="24"/>
                <w:szCs w:val="24"/>
                <w:highlight w:val="none"/>
              </w:rPr>
              <w:t>日</w:t>
            </w:r>
            <w:r>
              <w:rPr>
                <w:rFonts w:hint="eastAsia" w:ascii="宋体" w:hAnsi="宋体"/>
                <w:color w:val="auto"/>
                <w:sz w:val="24"/>
                <w:szCs w:val="24"/>
                <w:highlight w:val="none"/>
                <w:lang w:val="en-US" w:eastAsia="zh-CN"/>
              </w:rPr>
              <w:t>14</w:t>
            </w: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3</w:t>
            </w:r>
            <w:r>
              <w:rPr>
                <w:rFonts w:ascii="宋体" w:hAnsi="宋体"/>
                <w:color w:val="auto"/>
                <w:sz w:val="24"/>
                <w:szCs w:val="24"/>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7" w:hRule="atLeast"/>
          <w:tblCellSpacing w:w="7" w:type="dxa"/>
          <w:jc w:val="center"/>
        </w:trPr>
        <w:tc>
          <w:tcPr>
            <w:tcW w:w="701" w:type="dxa"/>
            <w:tcMar>
              <w:top w:w="15" w:type="dxa"/>
              <w:left w:w="15" w:type="dxa"/>
              <w:bottom w:w="15" w:type="dxa"/>
              <w:right w:w="15" w:type="dxa"/>
            </w:tcMar>
            <w:vAlign w:val="center"/>
          </w:tcPr>
          <w:p>
            <w:pPr>
              <w:snapToGrid w:val="0"/>
              <w:spacing w:line="520" w:lineRule="exact"/>
              <w:jc w:val="center"/>
              <w:rPr>
                <w:rFonts w:ascii="宋体" w:hAnsi="宋体"/>
                <w:color w:val="auto"/>
                <w:sz w:val="24"/>
                <w:szCs w:val="24"/>
                <w:highlight w:val="none"/>
              </w:rPr>
            </w:pPr>
            <w:r>
              <w:rPr>
                <w:rFonts w:hint="eastAsia" w:ascii="宋体" w:hAnsi="宋体"/>
                <w:color w:val="auto"/>
                <w:sz w:val="24"/>
                <w:szCs w:val="24"/>
                <w:highlight w:val="none"/>
              </w:rPr>
              <w:t>8</w:t>
            </w:r>
          </w:p>
        </w:tc>
        <w:tc>
          <w:tcPr>
            <w:tcW w:w="1591" w:type="dxa"/>
            <w:tcMar>
              <w:top w:w="15" w:type="dxa"/>
              <w:left w:w="15" w:type="dxa"/>
              <w:bottom w:w="15" w:type="dxa"/>
              <w:right w:w="15" w:type="dxa"/>
            </w:tcMar>
            <w:vAlign w:val="center"/>
          </w:tcPr>
          <w:p>
            <w:pPr>
              <w:snapToGrid w:val="0"/>
              <w:spacing w:line="520" w:lineRule="exact"/>
              <w:jc w:val="center"/>
              <w:rPr>
                <w:rFonts w:ascii="宋体" w:hAnsi="宋体"/>
                <w:color w:val="auto"/>
                <w:sz w:val="24"/>
                <w:szCs w:val="24"/>
                <w:highlight w:val="none"/>
              </w:rPr>
            </w:pPr>
            <w:r>
              <w:rPr>
                <w:rFonts w:hint="eastAsia" w:ascii="宋体" w:hAnsi="宋体"/>
                <w:color w:val="auto"/>
                <w:sz w:val="24"/>
                <w:szCs w:val="24"/>
                <w:highlight w:val="none"/>
              </w:rPr>
              <w:t>评标办法</w:t>
            </w:r>
          </w:p>
        </w:tc>
        <w:tc>
          <w:tcPr>
            <w:tcW w:w="7769" w:type="dxa"/>
            <w:gridSpan w:val="3"/>
            <w:tcMar>
              <w:top w:w="15" w:type="dxa"/>
              <w:left w:w="15" w:type="dxa"/>
              <w:bottom w:w="15" w:type="dxa"/>
              <w:right w:w="15" w:type="dxa"/>
            </w:tcMar>
            <w:vAlign w:val="center"/>
          </w:tcPr>
          <w:p>
            <w:pPr>
              <w:snapToGrid w:val="0"/>
              <w:spacing w:line="520" w:lineRule="exact"/>
              <w:rPr>
                <w:rFonts w:ascii="宋体" w:hAnsi="宋体"/>
                <w:color w:val="auto"/>
                <w:sz w:val="24"/>
                <w:szCs w:val="24"/>
                <w:highlight w:val="none"/>
              </w:rPr>
            </w:pPr>
            <w:r>
              <w:rPr>
                <w:rFonts w:hint="eastAsia" w:ascii="宋体" w:hAnsi="宋体"/>
                <w:color w:val="auto"/>
                <w:sz w:val="24"/>
                <w:szCs w:val="24"/>
                <w:highlight w:val="none"/>
              </w:rPr>
              <w:t>综合评分法：详见第四章 评标办法及评分标准。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7" w:hRule="atLeast"/>
          <w:tblCellSpacing w:w="7" w:type="dxa"/>
          <w:jc w:val="center"/>
        </w:trPr>
        <w:tc>
          <w:tcPr>
            <w:tcW w:w="701" w:type="dxa"/>
            <w:tcMar>
              <w:top w:w="15" w:type="dxa"/>
              <w:left w:w="15" w:type="dxa"/>
              <w:bottom w:w="15" w:type="dxa"/>
              <w:right w:w="15" w:type="dxa"/>
            </w:tcMar>
            <w:vAlign w:val="center"/>
          </w:tcPr>
          <w:p>
            <w:pPr>
              <w:snapToGrid w:val="0"/>
              <w:spacing w:line="520" w:lineRule="exact"/>
              <w:jc w:val="center"/>
              <w:rPr>
                <w:rFonts w:ascii="宋体" w:hAnsi="宋体"/>
                <w:color w:val="auto"/>
                <w:sz w:val="24"/>
                <w:szCs w:val="24"/>
                <w:highlight w:val="none"/>
              </w:rPr>
            </w:pPr>
            <w:r>
              <w:rPr>
                <w:rFonts w:hint="eastAsia" w:ascii="宋体" w:hAnsi="宋体"/>
                <w:color w:val="auto"/>
                <w:sz w:val="24"/>
                <w:szCs w:val="24"/>
                <w:highlight w:val="none"/>
              </w:rPr>
              <w:t>9</w:t>
            </w:r>
          </w:p>
        </w:tc>
        <w:tc>
          <w:tcPr>
            <w:tcW w:w="1591" w:type="dxa"/>
            <w:tcMar>
              <w:top w:w="15" w:type="dxa"/>
              <w:left w:w="15" w:type="dxa"/>
              <w:bottom w:w="15" w:type="dxa"/>
              <w:right w:w="15" w:type="dxa"/>
            </w:tcMar>
            <w:vAlign w:val="center"/>
          </w:tcPr>
          <w:p>
            <w:pPr>
              <w:autoSpaceDE w:val="0"/>
              <w:autoSpaceDN w:val="0"/>
              <w:snapToGrid w:val="0"/>
              <w:spacing w:line="520" w:lineRule="exact"/>
              <w:jc w:val="center"/>
              <w:textAlignment w:val="bottom"/>
              <w:rPr>
                <w:rFonts w:ascii="宋体" w:hAnsi="宋体"/>
                <w:color w:val="auto"/>
                <w:sz w:val="24"/>
                <w:szCs w:val="24"/>
                <w:highlight w:val="none"/>
              </w:rPr>
            </w:pPr>
            <w:r>
              <w:rPr>
                <w:rFonts w:hint="eastAsia" w:ascii="宋体" w:hAnsi="宋体" w:cs="Tahoma"/>
                <w:color w:val="auto"/>
                <w:sz w:val="24"/>
                <w:szCs w:val="24"/>
                <w:highlight w:val="none"/>
              </w:rPr>
              <w:t>签订合同时间</w:t>
            </w:r>
          </w:p>
        </w:tc>
        <w:tc>
          <w:tcPr>
            <w:tcW w:w="7769" w:type="dxa"/>
            <w:gridSpan w:val="3"/>
            <w:tcMar>
              <w:top w:w="15" w:type="dxa"/>
              <w:left w:w="15" w:type="dxa"/>
              <w:bottom w:w="15" w:type="dxa"/>
              <w:right w:w="15" w:type="dxa"/>
            </w:tcMar>
            <w:vAlign w:val="center"/>
          </w:tcPr>
          <w:p>
            <w:pPr>
              <w:snapToGrid w:val="0"/>
              <w:spacing w:line="520" w:lineRule="exact"/>
              <w:rPr>
                <w:rFonts w:ascii="宋体" w:hAnsi="宋体"/>
                <w:color w:val="auto"/>
                <w:sz w:val="24"/>
                <w:szCs w:val="24"/>
                <w:highlight w:val="none"/>
              </w:rPr>
            </w:pPr>
            <w:r>
              <w:rPr>
                <w:rFonts w:hint="eastAsia" w:ascii="宋体" w:hAnsi="宋体" w:cs="Tahoma"/>
                <w:color w:val="auto"/>
                <w:sz w:val="24"/>
                <w:szCs w:val="24"/>
                <w:highlight w:val="none"/>
              </w:rPr>
              <w:t>中标通知书发出后30日内。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7" w:hRule="atLeast"/>
          <w:tblCellSpacing w:w="7" w:type="dxa"/>
          <w:jc w:val="center"/>
        </w:trPr>
        <w:tc>
          <w:tcPr>
            <w:tcW w:w="701" w:type="dxa"/>
            <w:tcMar>
              <w:top w:w="15" w:type="dxa"/>
              <w:left w:w="15" w:type="dxa"/>
              <w:bottom w:w="15" w:type="dxa"/>
              <w:right w:w="15" w:type="dxa"/>
            </w:tcMar>
            <w:vAlign w:val="center"/>
          </w:tcPr>
          <w:p>
            <w:pPr>
              <w:snapToGrid w:val="0"/>
              <w:spacing w:line="520" w:lineRule="exact"/>
              <w:jc w:val="center"/>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10</w:t>
            </w:r>
          </w:p>
        </w:tc>
        <w:tc>
          <w:tcPr>
            <w:tcW w:w="1591" w:type="dxa"/>
            <w:shd w:val="clear" w:color="auto" w:fill="E0E0E0"/>
            <w:tcMar>
              <w:top w:w="15" w:type="dxa"/>
              <w:left w:w="15" w:type="dxa"/>
              <w:bottom w:w="15" w:type="dxa"/>
              <w:right w:w="15" w:type="dxa"/>
            </w:tcMar>
            <w:vAlign w:val="center"/>
          </w:tcPr>
          <w:p>
            <w:pPr>
              <w:snapToGrid w:val="0"/>
              <w:spacing w:line="520" w:lineRule="exact"/>
              <w:jc w:val="center"/>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现场勘测</w:t>
            </w:r>
          </w:p>
        </w:tc>
        <w:tc>
          <w:tcPr>
            <w:tcW w:w="7769" w:type="dxa"/>
            <w:gridSpan w:val="3"/>
            <w:shd w:val="clear" w:color="auto" w:fill="FFFFFF"/>
            <w:tcMar>
              <w:top w:w="15" w:type="dxa"/>
              <w:left w:w="15" w:type="dxa"/>
              <w:bottom w:w="15" w:type="dxa"/>
              <w:right w:w="15" w:type="dxa"/>
            </w:tcMar>
            <w:vAlign w:val="center"/>
          </w:tcPr>
          <w:p>
            <w:pPr>
              <w:snapToGrid w:val="0"/>
              <w:spacing w:line="520" w:lineRule="exact"/>
              <w:jc w:val="left"/>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采购人不组织踏勘，如供应商需进行现场踏勘的，须跟采购人进行协商。但供应商不得因此使采购人承担有关责任和蒙受损失，供应商应承担踏勘现场的责任和风险。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7" w:hRule="atLeast"/>
          <w:tblCellSpacing w:w="7" w:type="dxa"/>
          <w:jc w:val="center"/>
        </w:trPr>
        <w:tc>
          <w:tcPr>
            <w:tcW w:w="701" w:type="dxa"/>
            <w:tcMar>
              <w:top w:w="15" w:type="dxa"/>
              <w:left w:w="15" w:type="dxa"/>
              <w:bottom w:w="15" w:type="dxa"/>
              <w:right w:w="15" w:type="dxa"/>
            </w:tcMar>
            <w:vAlign w:val="center"/>
          </w:tcPr>
          <w:p>
            <w:pPr>
              <w:snapToGrid w:val="0"/>
              <w:spacing w:line="520" w:lineRule="exact"/>
              <w:jc w:val="center"/>
              <w:rPr>
                <w:rFonts w:ascii="宋体" w:hAnsi="宋体"/>
                <w:color w:val="auto"/>
                <w:sz w:val="24"/>
                <w:szCs w:val="24"/>
                <w:highlight w:val="none"/>
              </w:rPr>
            </w:pPr>
            <w:r>
              <w:rPr>
                <w:rFonts w:hint="eastAsia" w:ascii="宋体" w:hAnsi="宋体"/>
                <w:color w:val="auto"/>
                <w:sz w:val="24"/>
                <w:szCs w:val="24"/>
                <w:highlight w:val="none"/>
              </w:rPr>
              <w:t>1</w:t>
            </w:r>
            <w:r>
              <w:rPr>
                <w:rFonts w:hint="eastAsia" w:ascii="宋体" w:hAnsi="宋体"/>
                <w:color w:val="auto"/>
                <w:sz w:val="24"/>
                <w:szCs w:val="24"/>
                <w:highlight w:val="none"/>
                <w:lang w:val="en-US" w:eastAsia="zh-CN"/>
              </w:rPr>
              <w:t>1</w:t>
            </w:r>
          </w:p>
        </w:tc>
        <w:tc>
          <w:tcPr>
            <w:tcW w:w="1591" w:type="dxa"/>
            <w:tcMar>
              <w:top w:w="15" w:type="dxa"/>
              <w:left w:w="15" w:type="dxa"/>
              <w:bottom w:w="15" w:type="dxa"/>
              <w:right w:w="15" w:type="dxa"/>
            </w:tcMar>
            <w:vAlign w:val="center"/>
          </w:tcPr>
          <w:p>
            <w:pPr>
              <w:autoSpaceDE w:val="0"/>
              <w:autoSpaceDN w:val="0"/>
              <w:snapToGrid w:val="0"/>
              <w:spacing w:line="520" w:lineRule="exact"/>
              <w:jc w:val="center"/>
              <w:textAlignment w:val="bottom"/>
              <w:rPr>
                <w:rFonts w:ascii="宋体" w:hAnsi="宋体" w:cs="Tahoma"/>
                <w:color w:val="auto"/>
                <w:sz w:val="24"/>
                <w:szCs w:val="24"/>
                <w:highlight w:val="none"/>
              </w:rPr>
            </w:pPr>
            <w:r>
              <w:rPr>
                <w:rFonts w:hint="eastAsia" w:ascii="宋体" w:hAnsi="宋体" w:cs="Tahoma"/>
                <w:color w:val="auto"/>
                <w:sz w:val="24"/>
                <w:szCs w:val="24"/>
                <w:highlight w:val="none"/>
              </w:rPr>
              <w:t>履约保证金</w:t>
            </w:r>
          </w:p>
        </w:tc>
        <w:tc>
          <w:tcPr>
            <w:tcW w:w="7769" w:type="dxa"/>
            <w:gridSpan w:val="3"/>
            <w:tcMar>
              <w:top w:w="15" w:type="dxa"/>
              <w:left w:w="15" w:type="dxa"/>
              <w:bottom w:w="15" w:type="dxa"/>
              <w:right w:w="15" w:type="dxa"/>
            </w:tcMar>
            <w:vAlign w:val="center"/>
          </w:tcPr>
          <w:p>
            <w:pPr>
              <w:snapToGrid w:val="0"/>
              <w:spacing w:line="520" w:lineRule="exact"/>
              <w:jc w:val="left"/>
              <w:rPr>
                <w:rFonts w:hint="eastAsia" w:ascii="宋体" w:hAnsi="宋体" w:eastAsia="宋体" w:cs="Tahoma"/>
                <w:color w:val="auto"/>
                <w:sz w:val="24"/>
                <w:szCs w:val="24"/>
                <w:highlight w:val="none"/>
                <w:lang w:eastAsia="zh-CN"/>
              </w:rPr>
            </w:pPr>
            <w:r>
              <w:rPr>
                <w:rFonts w:hint="eastAsia" w:ascii="宋体" w:hAnsi="宋体" w:cs="Tahoma"/>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7" w:hRule="atLeast"/>
          <w:tblCellSpacing w:w="7" w:type="dxa"/>
          <w:jc w:val="center"/>
        </w:trPr>
        <w:tc>
          <w:tcPr>
            <w:tcW w:w="701" w:type="dxa"/>
            <w:tcMar>
              <w:top w:w="15" w:type="dxa"/>
              <w:left w:w="15" w:type="dxa"/>
              <w:bottom w:w="15" w:type="dxa"/>
              <w:right w:w="15" w:type="dxa"/>
            </w:tcMar>
            <w:vAlign w:val="center"/>
          </w:tcPr>
          <w:p>
            <w:pPr>
              <w:spacing w:line="520" w:lineRule="exact"/>
              <w:jc w:val="center"/>
              <w:rPr>
                <w:rFonts w:ascii="宋体"/>
                <w:b/>
                <w:color w:val="auto"/>
                <w:sz w:val="24"/>
                <w:szCs w:val="24"/>
                <w:highlight w:val="none"/>
              </w:rPr>
            </w:pPr>
            <w:r>
              <w:rPr>
                <w:rFonts w:hint="eastAsia" w:ascii="宋体" w:hAnsi="宋体"/>
                <w:b/>
                <w:color w:val="auto"/>
                <w:sz w:val="24"/>
                <w:szCs w:val="24"/>
                <w:highlight w:val="none"/>
              </w:rPr>
              <w:t>1</w:t>
            </w:r>
            <w:r>
              <w:rPr>
                <w:rFonts w:hint="eastAsia" w:ascii="宋体" w:hAnsi="宋体"/>
                <w:b/>
                <w:color w:val="auto"/>
                <w:sz w:val="24"/>
                <w:szCs w:val="24"/>
                <w:highlight w:val="none"/>
                <w:lang w:val="en-US" w:eastAsia="zh-CN"/>
              </w:rPr>
              <w:t>2</w:t>
            </w:r>
          </w:p>
        </w:tc>
        <w:tc>
          <w:tcPr>
            <w:tcW w:w="1591" w:type="dxa"/>
            <w:tcMar>
              <w:top w:w="15" w:type="dxa"/>
              <w:left w:w="15" w:type="dxa"/>
              <w:bottom w:w="15" w:type="dxa"/>
              <w:right w:w="15" w:type="dxa"/>
            </w:tcMar>
            <w:vAlign w:val="center"/>
          </w:tcPr>
          <w:p>
            <w:pPr>
              <w:spacing w:line="520" w:lineRule="exact"/>
              <w:jc w:val="center"/>
              <w:rPr>
                <w:rFonts w:ascii="宋体"/>
                <w:b/>
                <w:color w:val="auto"/>
                <w:sz w:val="24"/>
                <w:szCs w:val="24"/>
                <w:highlight w:val="none"/>
              </w:rPr>
            </w:pPr>
            <w:r>
              <w:rPr>
                <w:rFonts w:hint="eastAsia" w:ascii="宋体" w:hAnsi="宋体"/>
                <w:b/>
                <w:color w:val="auto"/>
                <w:sz w:val="24"/>
                <w:szCs w:val="24"/>
                <w:highlight w:val="none"/>
              </w:rPr>
              <w:t>服务期</w:t>
            </w:r>
          </w:p>
        </w:tc>
        <w:tc>
          <w:tcPr>
            <w:tcW w:w="7769" w:type="dxa"/>
            <w:gridSpan w:val="3"/>
            <w:tcMar>
              <w:top w:w="15" w:type="dxa"/>
              <w:left w:w="15" w:type="dxa"/>
              <w:bottom w:w="15" w:type="dxa"/>
              <w:right w:w="15" w:type="dxa"/>
            </w:tcMar>
            <w:vAlign w:val="center"/>
          </w:tcPr>
          <w:p>
            <w:pPr>
              <w:spacing w:line="520" w:lineRule="exact"/>
              <w:ind w:firstLine="240" w:firstLineChars="100"/>
              <w:jc w:val="left"/>
              <w:rPr>
                <w:rFonts w:ascii="宋体"/>
                <w:bCs/>
                <w:color w:val="auto"/>
                <w:sz w:val="24"/>
                <w:szCs w:val="24"/>
                <w:highlight w:val="none"/>
              </w:rPr>
            </w:pPr>
            <w:r>
              <w:rPr>
                <w:rFonts w:hint="eastAsia" w:ascii="宋体" w:hAnsi="宋体" w:cs="宋体"/>
                <w:color w:val="auto"/>
                <w:sz w:val="24"/>
                <w:szCs w:val="24"/>
                <w:highlight w:val="none"/>
                <w:lang w:val="en-US" w:eastAsia="zh-CN"/>
              </w:rPr>
              <w:t>一期工程施工</w:t>
            </w:r>
            <w:r>
              <w:rPr>
                <w:rFonts w:hint="eastAsia" w:ascii="宋体" w:hAnsi="宋体" w:cs="宋体"/>
                <w:color w:val="auto"/>
                <w:sz w:val="24"/>
                <w:szCs w:val="24"/>
                <w:highlight w:val="none"/>
                <w:lang w:eastAsia="zh-Hans"/>
              </w:rPr>
              <w:t>工期：</w:t>
            </w:r>
            <w:r>
              <w:rPr>
                <w:rFonts w:hint="eastAsia" w:ascii="宋体" w:hAnsi="宋体" w:cs="宋体"/>
                <w:color w:val="auto"/>
                <w:sz w:val="24"/>
                <w:szCs w:val="24"/>
                <w:highlight w:val="none"/>
                <w:lang w:val="en-US" w:eastAsia="zh-CN"/>
              </w:rPr>
              <w:t>90</w:t>
            </w:r>
            <w:r>
              <w:rPr>
                <w:rFonts w:hint="eastAsia" w:ascii="宋体" w:hAnsi="宋体" w:cs="宋体"/>
                <w:color w:val="auto"/>
                <w:sz w:val="24"/>
                <w:szCs w:val="24"/>
                <w:highlight w:val="none"/>
                <w:lang w:eastAsia="zh-Hans"/>
              </w:rPr>
              <w:t>日历天。</w:t>
            </w:r>
            <w:r>
              <w:rPr>
                <w:rFonts w:hint="eastAsia" w:ascii="宋体" w:hAnsi="宋体" w:cs="宋体"/>
                <w:color w:val="auto"/>
                <w:sz w:val="24"/>
                <w:szCs w:val="24"/>
                <w:highlight w:val="none"/>
                <w:lang w:val="en-US" w:eastAsia="zh-CN"/>
              </w:rPr>
              <w:t>运营期：20年。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7" w:hRule="atLeast"/>
          <w:tblCellSpacing w:w="7" w:type="dxa"/>
          <w:jc w:val="center"/>
        </w:trPr>
        <w:tc>
          <w:tcPr>
            <w:tcW w:w="701" w:type="dxa"/>
            <w:tcMar>
              <w:top w:w="15" w:type="dxa"/>
              <w:left w:w="15" w:type="dxa"/>
              <w:bottom w:w="15" w:type="dxa"/>
              <w:right w:w="15" w:type="dxa"/>
            </w:tcMar>
            <w:vAlign w:val="center"/>
          </w:tcPr>
          <w:p>
            <w:pPr>
              <w:snapToGrid w:val="0"/>
              <w:spacing w:line="520" w:lineRule="exact"/>
              <w:jc w:val="center"/>
              <w:rPr>
                <w:rFonts w:ascii="宋体" w:hAnsi="宋体"/>
                <w:color w:val="auto"/>
                <w:sz w:val="24"/>
                <w:szCs w:val="24"/>
                <w:highlight w:val="none"/>
              </w:rPr>
            </w:pPr>
            <w:r>
              <w:rPr>
                <w:rFonts w:hint="eastAsia" w:ascii="宋体" w:hAnsi="宋体"/>
                <w:color w:val="auto"/>
                <w:sz w:val="24"/>
                <w:szCs w:val="24"/>
                <w:highlight w:val="none"/>
              </w:rPr>
              <w:t>1</w:t>
            </w:r>
            <w:r>
              <w:rPr>
                <w:rFonts w:hint="eastAsia" w:ascii="宋体" w:hAnsi="宋体"/>
                <w:color w:val="auto"/>
                <w:sz w:val="24"/>
                <w:szCs w:val="24"/>
                <w:highlight w:val="none"/>
                <w:lang w:val="en-US" w:eastAsia="zh-CN"/>
              </w:rPr>
              <w:t>4</w:t>
            </w:r>
          </w:p>
        </w:tc>
        <w:tc>
          <w:tcPr>
            <w:tcW w:w="1591" w:type="dxa"/>
            <w:tcMar>
              <w:top w:w="15" w:type="dxa"/>
              <w:left w:w="15" w:type="dxa"/>
              <w:bottom w:w="15" w:type="dxa"/>
              <w:right w:w="15" w:type="dxa"/>
            </w:tcMar>
            <w:vAlign w:val="center"/>
          </w:tcPr>
          <w:p>
            <w:pPr>
              <w:snapToGrid w:val="0"/>
              <w:spacing w:line="520" w:lineRule="exact"/>
              <w:jc w:val="center"/>
              <w:rPr>
                <w:rFonts w:hint="eastAsia" w:ascii="宋体" w:hAnsi="宋体"/>
                <w:color w:val="auto"/>
                <w:sz w:val="24"/>
                <w:szCs w:val="24"/>
                <w:highlight w:val="none"/>
              </w:rPr>
            </w:pPr>
            <w:r>
              <w:rPr>
                <w:rFonts w:hint="eastAsia" w:ascii="宋体" w:hAnsi="宋体"/>
                <w:color w:val="auto"/>
                <w:sz w:val="24"/>
                <w:szCs w:val="24"/>
                <w:highlight w:val="none"/>
                <w:lang w:val="en-US" w:eastAsia="zh-CN"/>
              </w:rPr>
              <w:t>磋商</w:t>
            </w:r>
            <w:r>
              <w:rPr>
                <w:rFonts w:hint="eastAsia" w:ascii="宋体" w:hAnsi="宋体"/>
                <w:color w:val="auto"/>
                <w:sz w:val="24"/>
                <w:szCs w:val="24"/>
                <w:highlight w:val="none"/>
              </w:rPr>
              <w:t>文件中的非格式合同（条款）提示条款</w:t>
            </w:r>
          </w:p>
        </w:tc>
        <w:tc>
          <w:tcPr>
            <w:tcW w:w="7769" w:type="dxa"/>
            <w:gridSpan w:val="3"/>
            <w:tcMar>
              <w:top w:w="15" w:type="dxa"/>
              <w:left w:w="15" w:type="dxa"/>
              <w:bottom w:w="15" w:type="dxa"/>
              <w:right w:w="15" w:type="dxa"/>
            </w:tcMar>
            <w:vAlign w:val="top"/>
          </w:tcPr>
          <w:p>
            <w:pPr>
              <w:snapToGrid w:val="0"/>
              <w:spacing w:line="520" w:lineRule="exact"/>
              <w:jc w:val="left"/>
              <w:rPr>
                <w:rFonts w:hint="eastAsia" w:ascii="宋体" w:hAnsi="宋体"/>
                <w:color w:val="auto"/>
                <w:sz w:val="24"/>
                <w:szCs w:val="24"/>
                <w:highlight w:val="none"/>
                <w:lang w:eastAsia="zh-Hans"/>
              </w:rPr>
            </w:pPr>
            <w:r>
              <w:rPr>
                <w:rFonts w:hint="eastAsia" w:ascii="宋体" w:hAnsi="宋体"/>
                <w:color w:val="auto"/>
                <w:sz w:val="24"/>
                <w:szCs w:val="24"/>
                <w:highlight w:val="none"/>
                <w:lang w:val="en-US" w:eastAsia="zh-CN"/>
              </w:rPr>
              <w:t>采购人</w:t>
            </w:r>
            <w:r>
              <w:rPr>
                <w:rFonts w:hint="eastAsia" w:ascii="宋体" w:hAnsi="宋体"/>
                <w:color w:val="auto"/>
                <w:sz w:val="24"/>
                <w:szCs w:val="24"/>
                <w:highlight w:val="none"/>
              </w:rPr>
              <w:t>附于</w:t>
            </w:r>
            <w:r>
              <w:rPr>
                <w:rFonts w:hint="eastAsia" w:ascii="宋体" w:hAnsi="宋体"/>
                <w:color w:val="auto"/>
                <w:sz w:val="24"/>
                <w:szCs w:val="24"/>
                <w:highlight w:val="none"/>
                <w:lang w:val="en-US" w:eastAsia="zh-CN"/>
              </w:rPr>
              <w:t>磋商</w:t>
            </w:r>
            <w:r>
              <w:rPr>
                <w:rFonts w:hint="eastAsia" w:ascii="宋体" w:hAnsi="宋体"/>
                <w:color w:val="auto"/>
                <w:sz w:val="24"/>
                <w:szCs w:val="24"/>
                <w:highlight w:val="none"/>
              </w:rPr>
              <w:t>文件中的合同（条款），</w:t>
            </w:r>
            <w:bookmarkStart w:id="6" w:name="OLE_LINK7"/>
            <w:r>
              <w:rPr>
                <w:rFonts w:hint="eastAsia" w:ascii="宋体" w:hAnsi="宋体"/>
                <w:color w:val="auto"/>
                <w:sz w:val="24"/>
                <w:szCs w:val="24"/>
                <w:highlight w:val="none"/>
                <w:lang w:val="en-US" w:eastAsia="zh-CN"/>
              </w:rPr>
              <w:t>响应人</w:t>
            </w:r>
            <w:bookmarkEnd w:id="6"/>
            <w:r>
              <w:rPr>
                <w:rFonts w:hint="eastAsia" w:ascii="宋体" w:hAnsi="宋体"/>
                <w:color w:val="auto"/>
                <w:sz w:val="24"/>
                <w:szCs w:val="24"/>
                <w:highlight w:val="none"/>
              </w:rPr>
              <w:t>如发现存在歧义、不明确、不公平、不合法或有其他不妥当的地方，</w:t>
            </w:r>
            <w:r>
              <w:rPr>
                <w:rFonts w:hint="eastAsia" w:ascii="宋体" w:hAnsi="宋体"/>
                <w:color w:val="auto"/>
                <w:sz w:val="24"/>
                <w:szCs w:val="24"/>
                <w:highlight w:val="none"/>
                <w:lang w:val="en-US" w:eastAsia="zh-CN"/>
              </w:rPr>
              <w:t>响应人</w:t>
            </w:r>
            <w:r>
              <w:rPr>
                <w:rFonts w:hint="eastAsia" w:ascii="宋体" w:hAnsi="宋体"/>
                <w:color w:val="auto"/>
                <w:sz w:val="24"/>
                <w:szCs w:val="24"/>
                <w:highlight w:val="none"/>
              </w:rPr>
              <w:t>应通过符合</w:t>
            </w:r>
            <w:r>
              <w:rPr>
                <w:rFonts w:hint="eastAsia" w:ascii="宋体" w:hAnsi="宋体"/>
                <w:color w:val="auto"/>
                <w:sz w:val="24"/>
                <w:szCs w:val="24"/>
                <w:highlight w:val="none"/>
                <w:lang w:val="en-US" w:eastAsia="zh-CN"/>
              </w:rPr>
              <w:t>磋商</w:t>
            </w:r>
            <w:r>
              <w:rPr>
                <w:rFonts w:hint="eastAsia" w:ascii="宋体" w:hAnsi="宋体"/>
                <w:color w:val="auto"/>
                <w:sz w:val="24"/>
                <w:szCs w:val="24"/>
                <w:highlight w:val="none"/>
              </w:rPr>
              <w:t>文件要求的书面形式告知</w:t>
            </w:r>
            <w:r>
              <w:rPr>
                <w:rFonts w:hint="eastAsia" w:ascii="宋体" w:hAnsi="宋体"/>
                <w:color w:val="auto"/>
                <w:sz w:val="24"/>
                <w:szCs w:val="24"/>
                <w:highlight w:val="none"/>
                <w:lang w:val="en-US" w:eastAsia="zh-CN"/>
              </w:rPr>
              <w:t>采购</w:t>
            </w:r>
            <w:r>
              <w:rPr>
                <w:rFonts w:hint="eastAsia" w:ascii="宋体" w:hAnsi="宋体"/>
                <w:color w:val="auto"/>
                <w:sz w:val="24"/>
                <w:szCs w:val="24"/>
                <w:highlight w:val="none"/>
              </w:rPr>
              <w:t>人，要求</w:t>
            </w:r>
            <w:r>
              <w:rPr>
                <w:rFonts w:hint="eastAsia" w:ascii="宋体" w:hAnsi="宋体"/>
                <w:color w:val="auto"/>
                <w:sz w:val="24"/>
                <w:szCs w:val="24"/>
                <w:highlight w:val="none"/>
                <w:lang w:val="en-US" w:eastAsia="zh-CN"/>
              </w:rPr>
              <w:t>采购</w:t>
            </w:r>
            <w:r>
              <w:rPr>
                <w:rFonts w:hint="eastAsia" w:ascii="宋体" w:hAnsi="宋体"/>
                <w:color w:val="auto"/>
                <w:sz w:val="24"/>
                <w:szCs w:val="24"/>
                <w:highlight w:val="none"/>
              </w:rPr>
              <w:t>人予以修改或澄清。</w:t>
            </w:r>
            <w:r>
              <w:rPr>
                <w:rFonts w:hint="eastAsia" w:ascii="宋体" w:hAnsi="宋体"/>
                <w:color w:val="auto"/>
                <w:sz w:val="24"/>
                <w:szCs w:val="24"/>
                <w:highlight w:val="none"/>
                <w:lang w:val="en-US" w:eastAsia="zh-CN"/>
              </w:rPr>
              <w:t>响应人</w:t>
            </w:r>
            <w:r>
              <w:rPr>
                <w:rFonts w:hint="eastAsia" w:ascii="宋体" w:hAnsi="宋体"/>
                <w:color w:val="auto"/>
                <w:sz w:val="24"/>
                <w:szCs w:val="24"/>
                <w:highlight w:val="none"/>
              </w:rPr>
              <w:t>递交</w:t>
            </w:r>
            <w:r>
              <w:rPr>
                <w:rFonts w:hint="eastAsia" w:ascii="宋体" w:hAnsi="宋体"/>
                <w:color w:val="auto"/>
                <w:sz w:val="24"/>
                <w:szCs w:val="24"/>
                <w:highlight w:val="none"/>
                <w:lang w:val="en-US" w:eastAsia="zh-CN"/>
              </w:rPr>
              <w:t>磋商响应</w:t>
            </w:r>
            <w:r>
              <w:rPr>
                <w:rFonts w:hint="eastAsia" w:ascii="宋体" w:hAnsi="宋体"/>
                <w:color w:val="auto"/>
                <w:sz w:val="24"/>
                <w:szCs w:val="24"/>
                <w:highlight w:val="none"/>
              </w:rPr>
              <w:t>文件时，即确认对所附合同（条款）</w:t>
            </w:r>
            <w:r>
              <w:rPr>
                <w:rFonts w:hint="eastAsia" w:ascii="宋体" w:hAnsi="宋体"/>
                <w:color w:val="auto"/>
                <w:sz w:val="24"/>
                <w:szCs w:val="24"/>
                <w:highlight w:val="none"/>
                <w:lang w:val="en-US" w:eastAsia="zh-CN"/>
              </w:rPr>
              <w:t>响应人</w:t>
            </w:r>
            <w:r>
              <w:rPr>
                <w:rFonts w:hint="eastAsia" w:ascii="宋体" w:hAnsi="宋体"/>
                <w:color w:val="auto"/>
                <w:sz w:val="24"/>
                <w:szCs w:val="24"/>
                <w:highlight w:val="none"/>
              </w:rPr>
              <w:t>已经与</w:t>
            </w:r>
            <w:r>
              <w:rPr>
                <w:rFonts w:hint="eastAsia" w:ascii="宋体" w:hAnsi="宋体"/>
                <w:color w:val="auto"/>
                <w:sz w:val="24"/>
                <w:szCs w:val="24"/>
                <w:highlight w:val="none"/>
                <w:lang w:val="en-US" w:eastAsia="zh-CN"/>
              </w:rPr>
              <w:t>采购</w:t>
            </w:r>
            <w:r>
              <w:rPr>
                <w:rFonts w:hint="eastAsia" w:ascii="宋体" w:hAnsi="宋体"/>
                <w:color w:val="auto"/>
                <w:sz w:val="24"/>
                <w:szCs w:val="24"/>
                <w:highlight w:val="none"/>
              </w:rPr>
              <w:t>人充分协商并达成一致，一旦中标，</w:t>
            </w:r>
            <w:r>
              <w:rPr>
                <w:rFonts w:hint="eastAsia" w:ascii="宋体" w:hAnsi="宋体"/>
                <w:color w:val="auto"/>
                <w:sz w:val="24"/>
                <w:szCs w:val="24"/>
                <w:highlight w:val="none"/>
                <w:lang w:val="en-US" w:eastAsia="zh-CN"/>
              </w:rPr>
              <w:t>响应人</w:t>
            </w:r>
            <w:r>
              <w:rPr>
                <w:rFonts w:hint="eastAsia" w:ascii="宋体" w:hAnsi="宋体"/>
                <w:color w:val="auto"/>
                <w:sz w:val="24"/>
                <w:szCs w:val="24"/>
                <w:highlight w:val="none"/>
              </w:rPr>
              <w:t>（中标人）承诺除补充相关信息外，将无条件无修改地按招标文件中所附合同（条款）文本与</w:t>
            </w:r>
            <w:r>
              <w:rPr>
                <w:rFonts w:hint="eastAsia" w:ascii="宋体" w:hAnsi="宋体"/>
                <w:color w:val="auto"/>
                <w:sz w:val="24"/>
                <w:szCs w:val="24"/>
                <w:highlight w:val="none"/>
                <w:lang w:val="en-US" w:eastAsia="zh-CN"/>
              </w:rPr>
              <w:t>采购</w:t>
            </w:r>
            <w:r>
              <w:rPr>
                <w:rFonts w:hint="eastAsia" w:ascii="宋体" w:hAnsi="宋体"/>
                <w:color w:val="auto"/>
                <w:sz w:val="24"/>
                <w:szCs w:val="24"/>
                <w:highlight w:val="none"/>
              </w:rPr>
              <w:t>人签署正式合同，且</w:t>
            </w:r>
            <w:r>
              <w:rPr>
                <w:rFonts w:hint="eastAsia" w:ascii="宋体" w:hAnsi="宋体"/>
                <w:color w:val="auto"/>
                <w:sz w:val="24"/>
                <w:szCs w:val="24"/>
                <w:highlight w:val="none"/>
                <w:lang w:val="en-US" w:eastAsia="zh-CN"/>
              </w:rPr>
              <w:t>响应人</w:t>
            </w:r>
            <w:r>
              <w:rPr>
                <w:rFonts w:hint="eastAsia" w:ascii="宋体" w:hAnsi="宋体"/>
                <w:color w:val="auto"/>
                <w:sz w:val="24"/>
                <w:szCs w:val="24"/>
                <w:highlight w:val="none"/>
              </w:rPr>
              <w:t>（中标人）明确承认该合同（条款）并非格式合同（条款），无论何时何事何因，</w:t>
            </w:r>
            <w:r>
              <w:rPr>
                <w:rFonts w:hint="eastAsia" w:ascii="宋体" w:hAnsi="宋体"/>
                <w:color w:val="auto"/>
                <w:sz w:val="24"/>
                <w:szCs w:val="24"/>
                <w:highlight w:val="none"/>
                <w:lang w:val="en-US" w:eastAsia="zh-CN"/>
              </w:rPr>
              <w:t>响应人</w:t>
            </w:r>
            <w:r>
              <w:rPr>
                <w:rFonts w:hint="eastAsia" w:ascii="宋体" w:hAnsi="宋体"/>
                <w:color w:val="auto"/>
                <w:sz w:val="24"/>
                <w:szCs w:val="24"/>
                <w:highlight w:val="none"/>
              </w:rPr>
              <w:t>（中标人）均不会援引格式合同（条款）规则对</w:t>
            </w:r>
            <w:r>
              <w:rPr>
                <w:rFonts w:hint="eastAsia" w:ascii="宋体" w:hAnsi="宋体"/>
                <w:color w:val="auto"/>
                <w:sz w:val="24"/>
                <w:szCs w:val="24"/>
                <w:highlight w:val="none"/>
                <w:lang w:val="en-US" w:eastAsia="zh-CN"/>
              </w:rPr>
              <w:t>采购人</w:t>
            </w:r>
            <w:r>
              <w:rPr>
                <w:rFonts w:hint="eastAsia" w:ascii="宋体" w:hAnsi="宋体"/>
                <w:color w:val="auto"/>
                <w:sz w:val="24"/>
                <w:szCs w:val="24"/>
                <w:highlight w:val="none"/>
              </w:rPr>
              <w:t>提出任何诉求或抗辩。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7" w:hRule="atLeast"/>
          <w:tblCellSpacing w:w="7" w:type="dxa"/>
          <w:jc w:val="center"/>
        </w:trPr>
        <w:tc>
          <w:tcPr>
            <w:tcW w:w="701" w:type="dxa"/>
            <w:tcMar>
              <w:top w:w="15" w:type="dxa"/>
              <w:left w:w="15" w:type="dxa"/>
              <w:bottom w:w="15" w:type="dxa"/>
              <w:right w:w="15" w:type="dxa"/>
            </w:tcMar>
            <w:vAlign w:val="center"/>
          </w:tcPr>
          <w:p>
            <w:pPr>
              <w:snapToGrid w:val="0"/>
              <w:spacing w:line="520" w:lineRule="exact"/>
              <w:jc w:val="center"/>
              <w:rPr>
                <w:rFonts w:ascii="宋体" w:hAnsi="宋体"/>
                <w:b/>
                <w:color w:val="auto"/>
                <w:sz w:val="24"/>
                <w:szCs w:val="24"/>
                <w:highlight w:val="none"/>
              </w:rPr>
            </w:pPr>
            <w:r>
              <w:rPr>
                <w:rFonts w:hint="eastAsia" w:ascii="宋体" w:hAnsi="宋体"/>
                <w:b/>
                <w:color w:val="auto"/>
                <w:sz w:val="24"/>
                <w:szCs w:val="24"/>
                <w:highlight w:val="none"/>
              </w:rPr>
              <w:t>★1</w:t>
            </w:r>
            <w:r>
              <w:rPr>
                <w:rFonts w:hint="eastAsia" w:ascii="宋体" w:hAnsi="宋体"/>
                <w:b/>
                <w:color w:val="auto"/>
                <w:sz w:val="24"/>
                <w:szCs w:val="24"/>
                <w:highlight w:val="none"/>
                <w:lang w:val="en-US" w:eastAsia="zh-CN"/>
              </w:rPr>
              <w:t>5</w:t>
            </w:r>
          </w:p>
        </w:tc>
        <w:tc>
          <w:tcPr>
            <w:tcW w:w="1591" w:type="dxa"/>
            <w:tcMar>
              <w:top w:w="15" w:type="dxa"/>
              <w:left w:w="15" w:type="dxa"/>
              <w:bottom w:w="15" w:type="dxa"/>
              <w:right w:w="15" w:type="dxa"/>
            </w:tcMar>
            <w:vAlign w:val="center"/>
          </w:tcPr>
          <w:p>
            <w:pPr>
              <w:autoSpaceDE w:val="0"/>
              <w:autoSpaceDN w:val="0"/>
              <w:snapToGrid w:val="0"/>
              <w:spacing w:line="520" w:lineRule="exact"/>
              <w:jc w:val="center"/>
              <w:textAlignment w:val="bottom"/>
              <w:rPr>
                <w:rFonts w:ascii="宋体" w:hAnsi="宋体" w:cs="Tahoma"/>
                <w:b/>
                <w:color w:val="auto"/>
                <w:sz w:val="24"/>
                <w:szCs w:val="24"/>
                <w:highlight w:val="none"/>
              </w:rPr>
            </w:pPr>
            <w:r>
              <w:rPr>
                <w:rFonts w:hint="eastAsia" w:ascii="宋体" w:hAnsi="宋体"/>
                <w:b/>
                <w:color w:val="auto"/>
                <w:sz w:val="24"/>
                <w:szCs w:val="24"/>
                <w:highlight w:val="none"/>
              </w:rPr>
              <w:t>投标有效期</w:t>
            </w:r>
          </w:p>
        </w:tc>
        <w:tc>
          <w:tcPr>
            <w:tcW w:w="7769" w:type="dxa"/>
            <w:gridSpan w:val="3"/>
            <w:tcMar>
              <w:top w:w="15" w:type="dxa"/>
              <w:left w:w="15" w:type="dxa"/>
              <w:bottom w:w="15" w:type="dxa"/>
              <w:right w:w="15" w:type="dxa"/>
            </w:tcMar>
            <w:vAlign w:val="center"/>
          </w:tcPr>
          <w:p>
            <w:pPr>
              <w:snapToGrid w:val="0"/>
              <w:spacing w:line="520" w:lineRule="exact"/>
              <w:jc w:val="left"/>
              <w:rPr>
                <w:rFonts w:ascii="宋体" w:hAnsi="宋体"/>
                <w:b/>
                <w:color w:val="auto"/>
                <w:sz w:val="24"/>
                <w:szCs w:val="24"/>
                <w:highlight w:val="none"/>
              </w:rPr>
            </w:pPr>
            <w:r>
              <w:rPr>
                <w:rFonts w:hint="eastAsia" w:ascii="宋体" w:hAnsi="宋体"/>
                <w:b/>
                <w:color w:val="auto"/>
                <w:sz w:val="24"/>
                <w:szCs w:val="24"/>
                <w:highlight w:val="none"/>
              </w:rPr>
              <w:t>90日历天。（从磋商开始之日起）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6" w:hRule="atLeast"/>
          <w:tblCellSpacing w:w="7" w:type="dxa"/>
          <w:jc w:val="center"/>
        </w:trPr>
        <w:tc>
          <w:tcPr>
            <w:tcW w:w="701" w:type="dxa"/>
            <w:tcMar>
              <w:top w:w="15" w:type="dxa"/>
              <w:left w:w="15" w:type="dxa"/>
              <w:bottom w:w="15" w:type="dxa"/>
              <w:right w:w="15" w:type="dxa"/>
            </w:tcMar>
            <w:vAlign w:val="center"/>
          </w:tcPr>
          <w:p>
            <w:pPr>
              <w:snapToGrid w:val="0"/>
              <w:spacing w:line="520" w:lineRule="exact"/>
              <w:jc w:val="center"/>
              <w:rPr>
                <w:rFonts w:ascii="宋体" w:hAnsi="宋体"/>
                <w:color w:val="auto"/>
                <w:sz w:val="24"/>
                <w:szCs w:val="24"/>
                <w:highlight w:val="none"/>
              </w:rPr>
            </w:pPr>
            <w:r>
              <w:rPr>
                <w:rFonts w:hint="eastAsia" w:ascii="宋体" w:hAnsi="宋体"/>
                <w:color w:val="auto"/>
                <w:sz w:val="24"/>
                <w:szCs w:val="24"/>
                <w:highlight w:val="none"/>
              </w:rPr>
              <w:t>1</w:t>
            </w:r>
            <w:r>
              <w:rPr>
                <w:rFonts w:hint="eastAsia" w:ascii="宋体" w:hAnsi="宋体"/>
                <w:color w:val="auto"/>
                <w:sz w:val="24"/>
                <w:szCs w:val="24"/>
                <w:highlight w:val="none"/>
                <w:lang w:val="en-US" w:eastAsia="zh-CN"/>
              </w:rPr>
              <w:t>6</w:t>
            </w:r>
          </w:p>
        </w:tc>
        <w:tc>
          <w:tcPr>
            <w:tcW w:w="1591" w:type="dxa"/>
            <w:tcMar>
              <w:top w:w="15" w:type="dxa"/>
              <w:left w:w="15" w:type="dxa"/>
              <w:bottom w:w="15" w:type="dxa"/>
              <w:right w:w="15" w:type="dxa"/>
            </w:tcMar>
            <w:vAlign w:val="center"/>
          </w:tcPr>
          <w:p>
            <w:pPr>
              <w:snapToGrid w:val="0"/>
              <w:spacing w:line="520" w:lineRule="exact"/>
              <w:jc w:val="center"/>
              <w:rPr>
                <w:rFonts w:ascii="宋体" w:hAnsi="宋体"/>
                <w:color w:val="auto"/>
                <w:sz w:val="24"/>
                <w:szCs w:val="24"/>
                <w:highlight w:val="none"/>
              </w:rPr>
            </w:pPr>
            <w:r>
              <w:rPr>
                <w:rFonts w:hint="eastAsia" w:ascii="宋体" w:hAnsi="宋体"/>
                <w:color w:val="auto"/>
                <w:sz w:val="24"/>
                <w:szCs w:val="24"/>
                <w:highlight w:val="none"/>
              </w:rPr>
              <w:t>解释</w:t>
            </w:r>
          </w:p>
        </w:tc>
        <w:tc>
          <w:tcPr>
            <w:tcW w:w="7769" w:type="dxa"/>
            <w:gridSpan w:val="3"/>
            <w:tcMar>
              <w:top w:w="15" w:type="dxa"/>
              <w:left w:w="15" w:type="dxa"/>
              <w:bottom w:w="15" w:type="dxa"/>
              <w:right w:w="15" w:type="dxa"/>
            </w:tcMar>
            <w:vAlign w:val="center"/>
          </w:tcPr>
          <w:p>
            <w:pPr>
              <w:snapToGrid w:val="0"/>
              <w:spacing w:line="520" w:lineRule="exact"/>
              <w:jc w:val="center"/>
              <w:rPr>
                <w:rFonts w:ascii="宋体" w:hAnsi="宋体"/>
                <w:color w:val="auto"/>
                <w:sz w:val="24"/>
                <w:szCs w:val="24"/>
                <w:highlight w:val="none"/>
              </w:rPr>
            </w:pPr>
            <w:r>
              <w:rPr>
                <w:rFonts w:hint="eastAsia" w:ascii="宋体" w:hAnsi="宋体"/>
                <w:color w:val="auto"/>
                <w:sz w:val="24"/>
                <w:szCs w:val="24"/>
                <w:highlight w:val="none"/>
              </w:rPr>
              <w:t>本招标文件的解释权属于采购人</w:t>
            </w:r>
          </w:p>
        </w:tc>
      </w:tr>
    </w:tbl>
    <w:p>
      <w:pPr>
        <w:snapToGrid w:val="0"/>
        <w:spacing w:before="120" w:line="520" w:lineRule="exact"/>
        <w:jc w:val="center"/>
        <w:rPr>
          <w:b/>
          <w:color w:val="auto"/>
          <w:sz w:val="24"/>
          <w:szCs w:val="24"/>
          <w:highlight w:val="none"/>
        </w:rPr>
      </w:pPr>
      <w:r>
        <w:rPr>
          <w:rFonts w:hint="eastAsia"/>
          <w:b/>
          <w:color w:val="auto"/>
          <w:sz w:val="24"/>
          <w:szCs w:val="24"/>
          <w:highlight w:val="none"/>
        </w:rPr>
        <w:br w:type="page"/>
      </w:r>
    </w:p>
    <w:p>
      <w:pPr>
        <w:pStyle w:val="16"/>
        <w:snapToGrid w:val="0"/>
        <w:spacing w:before="120" w:line="520" w:lineRule="exact"/>
        <w:jc w:val="center"/>
        <w:rPr>
          <w:b/>
          <w:color w:val="auto"/>
          <w:sz w:val="24"/>
          <w:szCs w:val="24"/>
          <w:highlight w:val="none"/>
        </w:rPr>
      </w:pPr>
      <w:r>
        <w:rPr>
          <w:rFonts w:hint="eastAsia"/>
          <w:b/>
          <w:color w:val="auto"/>
          <w:sz w:val="24"/>
          <w:szCs w:val="24"/>
          <w:highlight w:val="none"/>
        </w:rPr>
        <w:t>一</w:t>
      </w:r>
      <w:r>
        <w:rPr>
          <w:rFonts w:hint="eastAsia"/>
          <w:b/>
          <w:color w:val="auto"/>
          <w:sz w:val="24"/>
          <w:szCs w:val="24"/>
          <w:highlight w:val="none"/>
          <w:lang w:val="en-US" w:eastAsia="zh-CN"/>
        </w:rPr>
        <w:t xml:space="preserve"> </w:t>
      </w:r>
      <w:r>
        <w:rPr>
          <w:rFonts w:hint="eastAsia"/>
          <w:b/>
          <w:color w:val="auto"/>
          <w:sz w:val="24"/>
          <w:szCs w:val="24"/>
          <w:highlight w:val="none"/>
        </w:rPr>
        <w:t>总则</w:t>
      </w:r>
    </w:p>
    <w:p>
      <w:pPr>
        <w:pStyle w:val="16"/>
        <w:snapToGrid w:val="0"/>
        <w:spacing w:before="120" w:line="520" w:lineRule="exact"/>
        <w:ind w:firstLine="482" w:firstLineChars="200"/>
        <w:rPr>
          <w:rFonts w:hAnsi="宋体"/>
          <w:b/>
          <w:color w:val="auto"/>
          <w:sz w:val="24"/>
          <w:szCs w:val="24"/>
          <w:highlight w:val="none"/>
        </w:rPr>
      </w:pPr>
      <w:r>
        <w:rPr>
          <w:rFonts w:hint="eastAsia"/>
          <w:b/>
          <w:color w:val="auto"/>
          <w:sz w:val="24"/>
          <w:szCs w:val="24"/>
          <w:highlight w:val="none"/>
        </w:rPr>
        <w:t>（一）</w:t>
      </w:r>
      <w:r>
        <w:rPr>
          <w:rFonts w:hint="eastAsia"/>
          <w:b/>
          <w:color w:val="auto"/>
          <w:sz w:val="24"/>
          <w:szCs w:val="24"/>
          <w:highlight w:val="none"/>
          <w:lang w:eastAsia="zh-CN"/>
        </w:rPr>
        <w:t>、</w:t>
      </w:r>
      <w:r>
        <w:rPr>
          <w:rFonts w:hint="eastAsia"/>
          <w:b/>
          <w:color w:val="auto"/>
          <w:sz w:val="24"/>
          <w:szCs w:val="24"/>
          <w:highlight w:val="none"/>
        </w:rPr>
        <w:t>适用范围</w:t>
      </w:r>
    </w:p>
    <w:p>
      <w:pPr>
        <w:snapToGrid w:val="0"/>
        <w:spacing w:line="520" w:lineRule="exact"/>
        <w:ind w:right="-506" w:rightChars="-241" w:firstLine="480" w:firstLineChars="200"/>
        <w:jc w:val="left"/>
        <w:rPr>
          <w:rFonts w:ascii="宋体"/>
          <w:color w:val="auto"/>
          <w:sz w:val="24"/>
          <w:szCs w:val="24"/>
          <w:highlight w:val="none"/>
        </w:rPr>
      </w:pPr>
      <w:r>
        <w:rPr>
          <w:rFonts w:hint="eastAsia" w:ascii="宋体" w:hAnsi="宋体"/>
          <w:color w:val="auto"/>
          <w:sz w:val="24"/>
          <w:szCs w:val="24"/>
          <w:highlight w:val="none"/>
        </w:rPr>
        <w:t>本招标文件适用于</w:t>
      </w:r>
      <w:r>
        <w:rPr>
          <w:rFonts w:hint="eastAsia" w:ascii="宋体" w:hAnsi="宋体"/>
          <w:color w:val="auto"/>
          <w:sz w:val="24"/>
          <w:szCs w:val="24"/>
          <w:highlight w:val="none"/>
          <w:u w:val="single"/>
          <w:lang w:val="en-US" w:eastAsia="zh-CN"/>
        </w:rPr>
        <w:t>舟山市第二人民医院</w:t>
      </w:r>
      <w:r>
        <w:rPr>
          <w:rFonts w:hint="eastAsia" w:ascii="宋体" w:hAnsi="宋体"/>
          <w:color w:val="auto"/>
          <w:sz w:val="24"/>
          <w:szCs w:val="24"/>
          <w:highlight w:val="none"/>
          <w:u w:val="single"/>
          <w:lang w:eastAsia="zh-CN"/>
        </w:rPr>
        <w:t>分布式光伏项目</w:t>
      </w:r>
      <w:r>
        <w:rPr>
          <w:rFonts w:hint="eastAsia" w:ascii="宋体" w:hAnsi="宋体"/>
          <w:color w:val="auto"/>
          <w:sz w:val="24"/>
          <w:szCs w:val="24"/>
          <w:highlight w:val="none"/>
        </w:rPr>
        <w:t>的招标、投标、评标、定标、验收、合同履约、付款等行为（法律、法规另有规定的，从其规定）。</w:t>
      </w:r>
    </w:p>
    <w:p>
      <w:pPr>
        <w:snapToGrid w:val="0"/>
        <w:spacing w:line="520" w:lineRule="exact"/>
        <w:ind w:firstLine="482" w:firstLineChars="200"/>
        <w:jc w:val="left"/>
        <w:outlineLvl w:val="1"/>
        <w:rPr>
          <w:rFonts w:ascii="宋体"/>
          <w:b/>
          <w:color w:val="auto"/>
          <w:sz w:val="24"/>
          <w:szCs w:val="24"/>
          <w:highlight w:val="none"/>
        </w:rPr>
      </w:pPr>
      <w:r>
        <w:rPr>
          <w:rFonts w:hint="eastAsia" w:ascii="宋体" w:hAnsi="宋体"/>
          <w:b/>
          <w:color w:val="auto"/>
          <w:sz w:val="24"/>
          <w:szCs w:val="24"/>
          <w:highlight w:val="none"/>
        </w:rPr>
        <w:t>（二）</w:t>
      </w:r>
      <w:r>
        <w:rPr>
          <w:rFonts w:hint="eastAsia" w:ascii="宋体" w:hAnsi="宋体"/>
          <w:b/>
          <w:color w:val="auto"/>
          <w:sz w:val="24"/>
          <w:szCs w:val="24"/>
          <w:highlight w:val="none"/>
          <w:lang w:eastAsia="zh-CN"/>
        </w:rPr>
        <w:t>、</w:t>
      </w:r>
      <w:r>
        <w:rPr>
          <w:rFonts w:hint="eastAsia" w:ascii="宋体" w:hAnsi="宋体"/>
          <w:b/>
          <w:color w:val="auto"/>
          <w:sz w:val="24"/>
          <w:szCs w:val="24"/>
          <w:highlight w:val="none"/>
        </w:rPr>
        <w:t>定义</w:t>
      </w:r>
    </w:p>
    <w:p>
      <w:pPr>
        <w:snapToGrid w:val="0"/>
        <w:spacing w:line="520" w:lineRule="exact"/>
        <w:ind w:right="-506" w:rightChars="-241" w:firstLine="480" w:firstLineChars="200"/>
        <w:jc w:val="left"/>
        <w:rPr>
          <w:rFonts w:ascii="宋体"/>
          <w:color w:val="auto"/>
          <w:sz w:val="24"/>
          <w:szCs w:val="24"/>
          <w:highlight w:val="none"/>
        </w:rPr>
      </w:pPr>
      <w:r>
        <w:rPr>
          <w:rFonts w:ascii="宋体" w:hAnsi="宋体"/>
          <w:color w:val="auto"/>
          <w:sz w:val="24"/>
          <w:szCs w:val="24"/>
          <w:highlight w:val="none"/>
        </w:rPr>
        <w:t>1.</w:t>
      </w:r>
      <w:r>
        <w:rPr>
          <w:rFonts w:hint="eastAsia" w:ascii="宋体" w:hAnsi="宋体"/>
          <w:color w:val="auto"/>
          <w:sz w:val="24"/>
          <w:szCs w:val="24"/>
          <w:highlight w:val="none"/>
          <w:lang w:val="en-US" w:eastAsia="zh-CN"/>
        </w:rPr>
        <w:t>采购人</w:t>
      </w:r>
      <w:r>
        <w:rPr>
          <w:rFonts w:hint="eastAsia" w:ascii="宋体" w:hAnsi="宋体"/>
          <w:color w:val="auto"/>
          <w:sz w:val="24"/>
          <w:szCs w:val="24"/>
          <w:highlight w:val="none"/>
        </w:rPr>
        <w:t>系指组织本次招标的</w:t>
      </w:r>
      <w:r>
        <w:rPr>
          <w:rFonts w:hint="eastAsia" w:ascii="宋体" w:hAnsi="宋体"/>
          <w:color w:val="auto"/>
          <w:sz w:val="24"/>
          <w:szCs w:val="24"/>
          <w:highlight w:val="none"/>
          <w:lang w:val="en-US" w:eastAsia="zh-CN"/>
        </w:rPr>
        <w:t>舟山市第二人民医院</w:t>
      </w:r>
      <w:r>
        <w:rPr>
          <w:rFonts w:hint="eastAsia" w:ascii="宋体" w:hAnsi="宋体"/>
          <w:color w:val="auto"/>
          <w:sz w:val="24"/>
          <w:szCs w:val="24"/>
          <w:highlight w:val="none"/>
        </w:rPr>
        <w:t>。</w:t>
      </w:r>
    </w:p>
    <w:p>
      <w:pPr>
        <w:snapToGrid w:val="0"/>
        <w:spacing w:line="520" w:lineRule="exact"/>
        <w:ind w:right="-506" w:rightChars="-241" w:firstLine="480" w:firstLineChars="200"/>
        <w:jc w:val="left"/>
        <w:rPr>
          <w:rFonts w:ascii="宋体"/>
          <w:color w:val="auto"/>
          <w:sz w:val="24"/>
          <w:szCs w:val="24"/>
          <w:highlight w:val="none"/>
        </w:rPr>
      </w:pPr>
      <w:r>
        <w:rPr>
          <w:rFonts w:ascii="宋体" w:hAnsi="宋体"/>
          <w:color w:val="auto"/>
          <w:sz w:val="24"/>
          <w:szCs w:val="24"/>
          <w:highlight w:val="none"/>
        </w:rPr>
        <w:t>2</w:t>
      </w:r>
      <w:r>
        <w:rPr>
          <w:rFonts w:ascii="宋体"/>
          <w:color w:val="auto"/>
          <w:sz w:val="24"/>
          <w:szCs w:val="24"/>
          <w:highlight w:val="none"/>
        </w:rPr>
        <w:t>.</w:t>
      </w: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响应人</w:t>
      </w:r>
      <w:r>
        <w:rPr>
          <w:rFonts w:hint="eastAsia" w:ascii="宋体"/>
          <w:color w:val="auto"/>
          <w:sz w:val="24"/>
          <w:szCs w:val="24"/>
          <w:highlight w:val="none"/>
        </w:rPr>
        <w:t>”</w:t>
      </w:r>
      <w:r>
        <w:rPr>
          <w:rFonts w:hint="eastAsia" w:ascii="宋体" w:hAnsi="宋体"/>
          <w:color w:val="auto"/>
          <w:sz w:val="24"/>
          <w:szCs w:val="24"/>
          <w:highlight w:val="none"/>
        </w:rPr>
        <w:t>系指向</w:t>
      </w:r>
      <w:r>
        <w:rPr>
          <w:rFonts w:hint="eastAsia" w:ascii="宋体" w:hAnsi="宋体"/>
          <w:color w:val="auto"/>
          <w:sz w:val="24"/>
          <w:szCs w:val="24"/>
          <w:highlight w:val="none"/>
          <w:lang w:val="en-US" w:eastAsia="zh-CN"/>
        </w:rPr>
        <w:t>采购人</w:t>
      </w:r>
      <w:r>
        <w:rPr>
          <w:rFonts w:hint="eastAsia" w:ascii="宋体" w:hAnsi="宋体"/>
          <w:color w:val="auto"/>
          <w:sz w:val="24"/>
          <w:szCs w:val="24"/>
          <w:highlight w:val="none"/>
        </w:rPr>
        <w:t>提交</w:t>
      </w:r>
      <w:r>
        <w:rPr>
          <w:rFonts w:hint="eastAsia" w:ascii="宋体" w:hAnsi="宋体"/>
          <w:color w:val="auto"/>
          <w:sz w:val="24"/>
          <w:szCs w:val="24"/>
          <w:highlight w:val="none"/>
          <w:lang w:val="en-US" w:eastAsia="zh-CN"/>
        </w:rPr>
        <w:t>磋商响应</w:t>
      </w:r>
      <w:r>
        <w:rPr>
          <w:rFonts w:hint="eastAsia" w:ascii="宋体" w:hAnsi="宋体"/>
          <w:color w:val="auto"/>
          <w:sz w:val="24"/>
          <w:szCs w:val="24"/>
          <w:highlight w:val="none"/>
        </w:rPr>
        <w:t>文件的单位或个人。</w:t>
      </w:r>
    </w:p>
    <w:p>
      <w:pPr>
        <w:snapToGrid w:val="0"/>
        <w:spacing w:line="520" w:lineRule="exact"/>
        <w:ind w:firstLine="480" w:firstLineChars="200"/>
        <w:jc w:val="left"/>
        <w:rPr>
          <w:rFonts w:ascii="宋体"/>
          <w:color w:val="auto"/>
          <w:sz w:val="24"/>
          <w:szCs w:val="24"/>
          <w:highlight w:val="none"/>
        </w:rPr>
      </w:pPr>
      <w:r>
        <w:rPr>
          <w:rFonts w:ascii="宋体" w:hAnsi="宋体"/>
          <w:color w:val="auto"/>
          <w:sz w:val="24"/>
          <w:szCs w:val="24"/>
          <w:highlight w:val="none"/>
        </w:rPr>
        <w:t>3.</w:t>
      </w:r>
      <w:r>
        <w:rPr>
          <w:rFonts w:hint="eastAsia" w:ascii="宋体" w:hAnsi="宋体"/>
          <w:color w:val="auto"/>
          <w:sz w:val="24"/>
          <w:szCs w:val="24"/>
          <w:highlight w:val="none"/>
        </w:rPr>
        <w:t>“合同”系指买卖双方签署的规定买卖双方权利与义务的协议，以及所有的附件、附录和招标文件所提到的构成合同的所有文件。</w:t>
      </w:r>
    </w:p>
    <w:p>
      <w:pPr>
        <w:snapToGrid w:val="0"/>
        <w:spacing w:line="520" w:lineRule="exact"/>
        <w:ind w:firstLine="480" w:firstLineChars="200"/>
        <w:jc w:val="left"/>
        <w:rPr>
          <w:rFonts w:ascii="宋体"/>
          <w:color w:val="auto"/>
          <w:sz w:val="24"/>
          <w:szCs w:val="24"/>
          <w:highlight w:val="none"/>
        </w:rPr>
      </w:pPr>
      <w:r>
        <w:rPr>
          <w:rFonts w:ascii="宋体" w:hAnsi="宋体"/>
          <w:color w:val="auto"/>
          <w:sz w:val="24"/>
          <w:szCs w:val="24"/>
          <w:highlight w:val="none"/>
        </w:rPr>
        <w:t>4.</w:t>
      </w:r>
      <w:r>
        <w:rPr>
          <w:rFonts w:hint="eastAsia" w:ascii="宋体" w:hAnsi="宋体"/>
          <w:color w:val="auto"/>
          <w:sz w:val="24"/>
          <w:szCs w:val="24"/>
          <w:highlight w:val="none"/>
        </w:rPr>
        <w:t>“项目”系指</w:t>
      </w:r>
      <w:r>
        <w:rPr>
          <w:rFonts w:hint="eastAsia" w:ascii="宋体" w:hAnsi="宋体"/>
          <w:color w:val="auto"/>
          <w:sz w:val="24"/>
          <w:szCs w:val="24"/>
          <w:highlight w:val="none"/>
          <w:lang w:val="en-US" w:eastAsia="zh-CN"/>
        </w:rPr>
        <w:t>响应人</w:t>
      </w:r>
      <w:r>
        <w:rPr>
          <w:rFonts w:hint="eastAsia" w:ascii="宋体" w:hAnsi="宋体"/>
          <w:color w:val="auto"/>
          <w:sz w:val="24"/>
          <w:szCs w:val="24"/>
          <w:highlight w:val="none"/>
        </w:rPr>
        <w:t>按</w:t>
      </w:r>
      <w:r>
        <w:rPr>
          <w:rFonts w:hint="eastAsia" w:ascii="宋体" w:hAnsi="宋体"/>
          <w:color w:val="auto"/>
          <w:sz w:val="24"/>
          <w:szCs w:val="24"/>
          <w:highlight w:val="none"/>
          <w:lang w:val="en-US" w:eastAsia="zh-CN"/>
        </w:rPr>
        <w:t>竞争性磋商</w:t>
      </w:r>
      <w:r>
        <w:rPr>
          <w:rFonts w:hint="eastAsia" w:ascii="宋体" w:hAnsi="宋体"/>
          <w:color w:val="auto"/>
          <w:sz w:val="24"/>
          <w:szCs w:val="24"/>
          <w:highlight w:val="none"/>
        </w:rPr>
        <w:t>文件规定向</w:t>
      </w:r>
      <w:r>
        <w:rPr>
          <w:rFonts w:hint="eastAsia" w:ascii="宋体" w:hAnsi="宋体"/>
          <w:color w:val="auto"/>
          <w:sz w:val="24"/>
          <w:szCs w:val="24"/>
          <w:highlight w:val="none"/>
          <w:lang w:val="en-US" w:eastAsia="zh-CN"/>
        </w:rPr>
        <w:t>采购人</w:t>
      </w:r>
      <w:r>
        <w:rPr>
          <w:rFonts w:hint="eastAsia" w:ascii="宋体" w:hAnsi="宋体"/>
          <w:color w:val="auto"/>
          <w:sz w:val="24"/>
          <w:szCs w:val="24"/>
          <w:highlight w:val="none"/>
        </w:rPr>
        <w:t>提供的产品和服务。</w:t>
      </w:r>
    </w:p>
    <w:p>
      <w:pPr>
        <w:snapToGrid w:val="0"/>
        <w:spacing w:line="520" w:lineRule="exact"/>
        <w:ind w:firstLine="480" w:firstLineChars="200"/>
        <w:jc w:val="left"/>
        <w:rPr>
          <w:rFonts w:ascii="宋体" w:hAnsi="宋体"/>
          <w:color w:val="auto"/>
          <w:sz w:val="24"/>
          <w:szCs w:val="24"/>
          <w:highlight w:val="none"/>
        </w:rPr>
      </w:pPr>
      <w:r>
        <w:rPr>
          <w:rFonts w:ascii="宋体"/>
          <w:color w:val="auto"/>
          <w:sz w:val="24"/>
          <w:szCs w:val="24"/>
          <w:highlight w:val="none"/>
        </w:rPr>
        <w:t>5.</w:t>
      </w:r>
      <w:r>
        <w:rPr>
          <w:rFonts w:hint="eastAsia" w:ascii="宋体"/>
          <w:color w:val="auto"/>
          <w:sz w:val="24"/>
          <w:szCs w:val="24"/>
          <w:highlight w:val="none"/>
        </w:rPr>
        <w:t>“</w:t>
      </w:r>
      <w:r>
        <w:rPr>
          <w:rFonts w:hint="eastAsia" w:ascii="宋体" w:hAnsi="宋体"/>
          <w:color w:val="auto"/>
          <w:sz w:val="24"/>
          <w:szCs w:val="24"/>
          <w:highlight w:val="none"/>
        </w:rPr>
        <w:t>书面形式</w:t>
      </w:r>
      <w:r>
        <w:rPr>
          <w:rFonts w:hint="eastAsia" w:ascii="宋体"/>
          <w:color w:val="auto"/>
          <w:sz w:val="24"/>
          <w:szCs w:val="24"/>
          <w:highlight w:val="none"/>
        </w:rPr>
        <w:t>”</w:t>
      </w:r>
      <w:r>
        <w:rPr>
          <w:rFonts w:hint="eastAsia" w:ascii="宋体" w:hAnsi="宋体"/>
          <w:color w:val="auto"/>
          <w:sz w:val="24"/>
          <w:szCs w:val="24"/>
          <w:highlight w:val="none"/>
        </w:rPr>
        <w:t>包括信函、传真、电报、电子文档等。</w:t>
      </w:r>
    </w:p>
    <w:p>
      <w:pPr>
        <w:snapToGrid w:val="0"/>
        <w:spacing w:line="520" w:lineRule="exact"/>
        <w:ind w:firstLine="480" w:firstLineChars="200"/>
        <w:jc w:val="left"/>
        <w:rPr>
          <w:rFonts w:ascii="宋体" w:hAnsi="宋体"/>
          <w:color w:val="auto"/>
          <w:sz w:val="24"/>
          <w:szCs w:val="24"/>
          <w:highlight w:val="none"/>
        </w:rPr>
      </w:pPr>
      <w:r>
        <w:rPr>
          <w:rFonts w:hint="eastAsia" w:ascii="宋体"/>
          <w:color w:val="auto"/>
          <w:sz w:val="24"/>
          <w:szCs w:val="24"/>
          <w:highlight w:val="none"/>
        </w:rPr>
        <w:t>6</w:t>
      </w:r>
      <w:r>
        <w:rPr>
          <w:rFonts w:ascii="宋体"/>
          <w:color w:val="auto"/>
          <w:sz w:val="24"/>
          <w:szCs w:val="24"/>
          <w:highlight w:val="none"/>
        </w:rPr>
        <w:t>.</w:t>
      </w:r>
      <w:r>
        <w:rPr>
          <w:rFonts w:hint="eastAsia" w:ascii="宋体"/>
          <w:color w:val="auto"/>
          <w:sz w:val="24"/>
          <w:szCs w:val="24"/>
          <w:highlight w:val="none"/>
        </w:rPr>
        <w:t>“</w:t>
      </w:r>
      <w:r>
        <w:rPr>
          <w:rFonts w:hint="eastAsia" w:ascii="宋体" w:hAnsi="宋体"/>
          <w:color w:val="auto"/>
          <w:sz w:val="24"/>
          <w:szCs w:val="24"/>
          <w:highlight w:val="none"/>
        </w:rPr>
        <w:t>★</w:t>
      </w:r>
      <w:r>
        <w:rPr>
          <w:rFonts w:hint="eastAsia" w:ascii="宋体"/>
          <w:color w:val="auto"/>
          <w:sz w:val="24"/>
          <w:szCs w:val="24"/>
          <w:highlight w:val="none"/>
        </w:rPr>
        <w:t>”</w:t>
      </w:r>
      <w:r>
        <w:rPr>
          <w:rFonts w:hint="eastAsia" w:ascii="宋体" w:hAnsi="宋体"/>
          <w:color w:val="auto"/>
          <w:sz w:val="24"/>
          <w:szCs w:val="24"/>
          <w:highlight w:val="none"/>
        </w:rPr>
        <w:t>系指实质性要求条款。</w:t>
      </w:r>
    </w:p>
    <w:p>
      <w:pPr>
        <w:snapToGrid w:val="0"/>
        <w:spacing w:line="520" w:lineRule="exact"/>
        <w:ind w:firstLine="482" w:firstLineChars="200"/>
        <w:jc w:val="left"/>
        <w:outlineLvl w:val="1"/>
        <w:rPr>
          <w:rFonts w:ascii="宋体"/>
          <w:b/>
          <w:color w:val="auto"/>
          <w:sz w:val="24"/>
          <w:szCs w:val="24"/>
          <w:highlight w:val="none"/>
        </w:rPr>
      </w:pPr>
      <w:r>
        <w:rPr>
          <w:rFonts w:hint="eastAsia" w:ascii="宋体" w:hAnsi="宋体"/>
          <w:b/>
          <w:color w:val="auto"/>
          <w:sz w:val="24"/>
          <w:szCs w:val="24"/>
          <w:highlight w:val="none"/>
        </w:rPr>
        <w:t>（三）</w:t>
      </w:r>
      <w:r>
        <w:rPr>
          <w:rFonts w:hint="eastAsia" w:ascii="宋体" w:hAnsi="宋体"/>
          <w:b/>
          <w:color w:val="auto"/>
          <w:sz w:val="24"/>
          <w:szCs w:val="24"/>
          <w:highlight w:val="none"/>
          <w:lang w:eastAsia="zh-CN"/>
        </w:rPr>
        <w:t>、</w:t>
      </w:r>
      <w:r>
        <w:rPr>
          <w:rFonts w:hint="eastAsia" w:ascii="宋体" w:hAnsi="宋体"/>
          <w:b/>
          <w:color w:val="auto"/>
          <w:sz w:val="24"/>
          <w:szCs w:val="24"/>
          <w:highlight w:val="none"/>
        </w:rPr>
        <w:t>招标方式</w:t>
      </w:r>
    </w:p>
    <w:p>
      <w:pPr>
        <w:snapToGrid w:val="0"/>
        <w:spacing w:line="520" w:lineRule="exact"/>
        <w:ind w:firstLine="480" w:firstLineChars="200"/>
        <w:jc w:val="left"/>
        <w:rPr>
          <w:rFonts w:ascii="宋体"/>
          <w:color w:val="auto"/>
          <w:sz w:val="24"/>
          <w:szCs w:val="24"/>
          <w:highlight w:val="none"/>
        </w:rPr>
      </w:pPr>
      <w:r>
        <w:rPr>
          <w:rFonts w:hint="eastAsia"/>
          <w:color w:val="auto"/>
          <w:sz w:val="24"/>
          <w:szCs w:val="24"/>
          <w:highlight w:val="none"/>
          <w:lang w:val="en-US" w:eastAsia="zh-CN"/>
        </w:rPr>
        <w:t>本次招标采用院内自行采购（竞争性磋商）方式进行。</w:t>
      </w:r>
    </w:p>
    <w:p>
      <w:pPr>
        <w:snapToGrid w:val="0"/>
        <w:spacing w:line="520" w:lineRule="exact"/>
        <w:ind w:firstLine="482" w:firstLineChars="200"/>
        <w:jc w:val="left"/>
        <w:outlineLvl w:val="1"/>
        <w:rPr>
          <w:rFonts w:ascii="宋体"/>
          <w:b/>
          <w:color w:val="auto"/>
          <w:sz w:val="24"/>
          <w:szCs w:val="24"/>
          <w:highlight w:val="none"/>
          <w:lang w:val="en-US"/>
        </w:rPr>
      </w:pPr>
      <w:r>
        <w:rPr>
          <w:rFonts w:hint="eastAsia" w:ascii="宋体" w:hAnsi="宋体"/>
          <w:b/>
          <w:color w:val="auto"/>
          <w:sz w:val="24"/>
          <w:szCs w:val="24"/>
          <w:highlight w:val="none"/>
        </w:rPr>
        <w:t>（四）</w:t>
      </w:r>
      <w:r>
        <w:rPr>
          <w:rFonts w:hint="eastAsia" w:ascii="宋体" w:hAnsi="宋体"/>
          <w:b/>
          <w:color w:val="auto"/>
          <w:sz w:val="24"/>
          <w:szCs w:val="24"/>
          <w:highlight w:val="none"/>
          <w:lang w:eastAsia="zh-CN"/>
        </w:rPr>
        <w:t>、</w:t>
      </w:r>
      <w:r>
        <w:rPr>
          <w:rFonts w:hint="eastAsia" w:ascii="宋体" w:hAnsi="宋体"/>
          <w:b/>
          <w:color w:val="auto"/>
          <w:sz w:val="24"/>
          <w:szCs w:val="24"/>
          <w:highlight w:val="none"/>
        </w:rPr>
        <w:t>投标</w:t>
      </w:r>
      <w:r>
        <w:rPr>
          <w:rFonts w:hint="eastAsia" w:ascii="宋体" w:hAnsi="宋体"/>
          <w:b/>
          <w:color w:val="auto"/>
          <w:sz w:val="24"/>
          <w:szCs w:val="24"/>
          <w:highlight w:val="none"/>
          <w:lang w:val="en-US" w:eastAsia="zh-CN"/>
        </w:rPr>
        <w:t>授权</w:t>
      </w:r>
    </w:p>
    <w:p>
      <w:pPr>
        <w:snapToGrid w:val="0"/>
        <w:spacing w:line="520" w:lineRule="exact"/>
        <w:ind w:firstLine="480" w:firstLineChars="200"/>
        <w:jc w:val="left"/>
        <w:outlineLvl w:val="1"/>
        <w:rPr>
          <w:rFonts w:hint="eastAsia" w:ascii="宋体" w:hAnsi="宋体"/>
          <w:b w:val="0"/>
          <w:bCs/>
          <w:color w:val="auto"/>
          <w:sz w:val="24"/>
          <w:szCs w:val="24"/>
          <w:highlight w:val="none"/>
        </w:rPr>
      </w:pPr>
      <w:r>
        <w:rPr>
          <w:rFonts w:hint="eastAsia" w:ascii="宋体" w:hAnsi="宋体"/>
          <w:b w:val="0"/>
          <w:bCs/>
          <w:color w:val="auto"/>
          <w:sz w:val="24"/>
          <w:szCs w:val="24"/>
          <w:highlight w:val="none"/>
        </w:rPr>
        <w:t>1、授权代表须携带有效身份证件。如授权代表不是法定代表人，须有法定代表人出具的授权委托书（格式详见第六章）。</w:t>
      </w:r>
    </w:p>
    <w:p>
      <w:pPr>
        <w:snapToGrid w:val="0"/>
        <w:spacing w:line="520" w:lineRule="exact"/>
        <w:ind w:firstLine="480" w:firstLineChars="200"/>
        <w:jc w:val="left"/>
        <w:outlineLvl w:val="1"/>
        <w:rPr>
          <w:rFonts w:hint="eastAsia" w:ascii="宋体" w:hAnsi="宋体"/>
          <w:b w:val="0"/>
          <w:bCs/>
          <w:color w:val="auto"/>
          <w:sz w:val="24"/>
          <w:szCs w:val="24"/>
          <w:highlight w:val="none"/>
        </w:rPr>
      </w:pPr>
      <w:r>
        <w:rPr>
          <w:rFonts w:hint="eastAsia" w:ascii="宋体" w:hAnsi="宋体"/>
          <w:b w:val="0"/>
          <w:bCs/>
          <w:color w:val="auto"/>
          <w:sz w:val="24"/>
          <w:szCs w:val="24"/>
          <w:highlight w:val="none"/>
        </w:rPr>
        <w:t>2、响应人投标所使用的资格、信誉、荣誉、业绩与企业认证必须为本法人所拥有。响应人投标所使用的采购项目实施人员必须为响应人员工（或响应人控股公司正式员工）。</w:t>
      </w:r>
    </w:p>
    <w:p>
      <w:pPr>
        <w:snapToGrid w:val="0"/>
        <w:spacing w:line="520" w:lineRule="exact"/>
        <w:ind w:firstLine="480" w:firstLineChars="200"/>
        <w:jc w:val="left"/>
        <w:outlineLvl w:val="1"/>
        <w:rPr>
          <w:rFonts w:hint="eastAsia" w:ascii="宋体" w:hAnsi="宋体"/>
          <w:b w:val="0"/>
          <w:bCs/>
          <w:color w:val="auto"/>
          <w:sz w:val="24"/>
          <w:szCs w:val="24"/>
          <w:highlight w:val="none"/>
        </w:rPr>
      </w:pPr>
      <w:r>
        <w:rPr>
          <w:rFonts w:hint="eastAsia" w:ascii="宋体" w:hAnsi="宋体"/>
          <w:b w:val="0"/>
          <w:bCs/>
          <w:color w:val="auto"/>
          <w:sz w:val="24"/>
          <w:szCs w:val="24"/>
          <w:highlight w:val="none"/>
        </w:rPr>
        <w:t>3、单位负责人为同一人或者存在直接控股、管理关系的不同供应商，不得参加同一合同项目的政府采购活动。</w:t>
      </w:r>
    </w:p>
    <w:p>
      <w:pPr>
        <w:snapToGrid w:val="0"/>
        <w:spacing w:line="520" w:lineRule="exact"/>
        <w:ind w:firstLine="480" w:firstLineChars="200"/>
        <w:jc w:val="left"/>
        <w:outlineLvl w:val="1"/>
        <w:rPr>
          <w:rFonts w:hint="eastAsia" w:ascii="宋体" w:hAnsi="宋体"/>
          <w:b w:val="0"/>
          <w:bCs/>
          <w:color w:val="auto"/>
          <w:sz w:val="24"/>
          <w:szCs w:val="24"/>
          <w:highlight w:val="none"/>
        </w:rPr>
      </w:pPr>
      <w:r>
        <w:rPr>
          <w:rFonts w:hint="eastAsia" w:ascii="宋体" w:hAnsi="宋体"/>
          <w:b w:val="0"/>
          <w:bCs/>
          <w:color w:val="auto"/>
          <w:sz w:val="24"/>
          <w:szCs w:val="24"/>
          <w:highlight w:val="none"/>
        </w:rPr>
        <w:t>4、响应人应仔细阅读响应文件的所有内容，按照响应文件的要求提交磋商响应文件，并对所提供的全部资料的真实性承担法律责任。</w:t>
      </w:r>
    </w:p>
    <w:p>
      <w:pPr>
        <w:snapToGrid w:val="0"/>
        <w:spacing w:line="520" w:lineRule="exact"/>
        <w:ind w:firstLine="482" w:firstLineChars="200"/>
        <w:jc w:val="left"/>
        <w:outlineLvl w:val="1"/>
        <w:rPr>
          <w:rFonts w:ascii="宋体"/>
          <w:b/>
          <w:color w:val="auto"/>
          <w:sz w:val="24"/>
          <w:szCs w:val="24"/>
          <w:highlight w:val="none"/>
        </w:rPr>
      </w:pPr>
      <w:r>
        <w:rPr>
          <w:rFonts w:hint="eastAsia" w:ascii="宋体" w:hAnsi="宋体"/>
          <w:b/>
          <w:color w:val="auto"/>
          <w:sz w:val="24"/>
          <w:szCs w:val="24"/>
          <w:highlight w:val="none"/>
        </w:rPr>
        <w:t>（五）</w:t>
      </w:r>
      <w:r>
        <w:rPr>
          <w:rFonts w:hint="eastAsia" w:ascii="宋体" w:hAnsi="宋体"/>
          <w:b/>
          <w:color w:val="auto"/>
          <w:sz w:val="24"/>
          <w:szCs w:val="24"/>
          <w:highlight w:val="none"/>
          <w:lang w:eastAsia="zh-CN"/>
        </w:rPr>
        <w:t>、</w:t>
      </w:r>
      <w:r>
        <w:rPr>
          <w:rFonts w:hint="eastAsia" w:ascii="宋体" w:hAnsi="宋体"/>
          <w:b/>
          <w:color w:val="auto"/>
          <w:sz w:val="24"/>
          <w:szCs w:val="24"/>
          <w:highlight w:val="none"/>
        </w:rPr>
        <w:t>投标费用</w:t>
      </w:r>
    </w:p>
    <w:p>
      <w:pPr>
        <w:snapToGrid w:val="0"/>
        <w:spacing w:line="520" w:lineRule="exact"/>
        <w:ind w:right="-506" w:rightChars="-241" w:firstLine="480" w:firstLineChars="200"/>
        <w:jc w:val="left"/>
        <w:rPr>
          <w:rFonts w:ascii="宋体"/>
          <w:color w:val="auto"/>
          <w:sz w:val="24"/>
          <w:szCs w:val="24"/>
          <w:highlight w:val="none"/>
        </w:rPr>
      </w:pPr>
      <w:r>
        <w:rPr>
          <w:rFonts w:hint="eastAsia" w:ascii="宋体" w:hAnsi="宋体"/>
          <w:color w:val="auto"/>
          <w:sz w:val="24"/>
          <w:szCs w:val="24"/>
          <w:highlight w:val="none"/>
        </w:rPr>
        <w:t>不论投标结果如何，投标人均应自行承担所有与投标有关的全部费用（招标文件另有规定除外）。</w:t>
      </w:r>
    </w:p>
    <w:p>
      <w:pPr>
        <w:snapToGrid w:val="0"/>
        <w:spacing w:line="520" w:lineRule="exact"/>
        <w:ind w:firstLine="482" w:firstLineChars="200"/>
        <w:jc w:val="left"/>
        <w:rPr>
          <w:rFonts w:ascii="宋体"/>
          <w:b/>
          <w:color w:val="auto"/>
          <w:sz w:val="24"/>
          <w:szCs w:val="24"/>
          <w:highlight w:val="none"/>
        </w:rPr>
      </w:pPr>
      <w:r>
        <w:rPr>
          <w:rFonts w:hint="eastAsia" w:ascii="宋体" w:hAnsi="宋体"/>
          <w:b/>
          <w:color w:val="auto"/>
          <w:sz w:val="24"/>
          <w:szCs w:val="24"/>
          <w:highlight w:val="none"/>
        </w:rPr>
        <w:t>（六）</w:t>
      </w:r>
      <w:r>
        <w:rPr>
          <w:rFonts w:hint="eastAsia" w:ascii="宋体" w:hAnsi="宋体"/>
          <w:b/>
          <w:color w:val="auto"/>
          <w:sz w:val="24"/>
          <w:szCs w:val="24"/>
          <w:highlight w:val="none"/>
          <w:lang w:eastAsia="zh-CN"/>
        </w:rPr>
        <w:t>、</w:t>
      </w:r>
      <w:r>
        <w:rPr>
          <w:rFonts w:hint="eastAsia" w:ascii="宋体" w:hAnsi="宋体"/>
          <w:b/>
          <w:color w:val="auto"/>
          <w:sz w:val="24"/>
          <w:szCs w:val="24"/>
          <w:highlight w:val="none"/>
        </w:rPr>
        <w:t>联合体投标</w:t>
      </w:r>
    </w:p>
    <w:p>
      <w:pPr>
        <w:snapToGrid w:val="0"/>
        <w:spacing w:line="520" w:lineRule="exact"/>
        <w:ind w:firstLine="480" w:firstLineChars="200"/>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本项目允许联合体投标。联合体投标需满足以下要求；</w:t>
      </w:r>
    </w:p>
    <w:p>
      <w:pPr>
        <w:snapToGrid w:val="0"/>
        <w:spacing w:line="520" w:lineRule="exact"/>
        <w:ind w:firstLine="480" w:firstLineChars="200"/>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1.联合体资质认定：联合体各方的资质将根据联合体协议中约定的分工进行认定，确保各成员单位在其专业领域具备相应的资质和能力。</w:t>
      </w:r>
    </w:p>
    <w:p>
      <w:pPr>
        <w:snapToGrid w:val="0"/>
        <w:spacing w:line="520" w:lineRule="exact"/>
        <w:ind w:firstLine="480" w:firstLineChars="200"/>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2.股权穿透关系证明：联合体需提供股权穿透关系证明，以明确联合体成员之间的股权结构关系，确保投标过程的透明度和合规性。</w:t>
      </w:r>
    </w:p>
    <w:p>
      <w:pPr>
        <w:snapToGrid w:val="0"/>
        <w:spacing w:line="520" w:lineRule="exact"/>
        <w:ind w:firstLine="482" w:firstLineChars="200"/>
        <w:rPr>
          <w:rFonts w:ascii="宋体"/>
          <w:b/>
          <w:color w:val="auto"/>
          <w:sz w:val="24"/>
          <w:szCs w:val="24"/>
          <w:highlight w:val="none"/>
        </w:rPr>
      </w:pPr>
      <w:r>
        <w:rPr>
          <w:rFonts w:hint="eastAsia" w:ascii="宋体" w:hAnsi="宋体"/>
          <w:b/>
          <w:color w:val="auto"/>
          <w:sz w:val="24"/>
          <w:szCs w:val="24"/>
          <w:highlight w:val="none"/>
        </w:rPr>
        <w:t>（七）</w:t>
      </w:r>
      <w:r>
        <w:rPr>
          <w:rFonts w:hint="eastAsia" w:ascii="宋体" w:hAnsi="宋体"/>
          <w:b/>
          <w:color w:val="auto"/>
          <w:sz w:val="24"/>
          <w:szCs w:val="24"/>
          <w:highlight w:val="none"/>
          <w:lang w:eastAsia="zh-CN"/>
        </w:rPr>
        <w:t>、</w:t>
      </w:r>
      <w:r>
        <w:rPr>
          <w:rFonts w:hint="eastAsia" w:ascii="宋体" w:hAnsi="宋体"/>
          <w:b/>
          <w:color w:val="auto"/>
          <w:sz w:val="24"/>
          <w:szCs w:val="24"/>
          <w:highlight w:val="none"/>
        </w:rPr>
        <w:t>转包与分包</w:t>
      </w:r>
    </w:p>
    <w:p>
      <w:pPr>
        <w:snapToGrid w:val="0"/>
        <w:spacing w:line="520" w:lineRule="exact"/>
        <w:ind w:firstLine="480" w:firstLineChars="200"/>
        <w:rPr>
          <w:rFonts w:ascii="宋体"/>
          <w:color w:val="auto"/>
          <w:sz w:val="24"/>
          <w:szCs w:val="24"/>
          <w:highlight w:val="none"/>
        </w:rPr>
      </w:pPr>
      <w:r>
        <w:rPr>
          <w:rFonts w:hint="eastAsia" w:ascii="宋体" w:hAnsi="宋体"/>
          <w:color w:val="auto"/>
          <w:sz w:val="24"/>
          <w:szCs w:val="24"/>
          <w:highlight w:val="none"/>
          <w:lang w:val="en-US" w:eastAsia="zh-CN"/>
        </w:rPr>
        <w:t>1.</w:t>
      </w:r>
      <w:r>
        <w:rPr>
          <w:rFonts w:hint="eastAsia" w:ascii="宋体" w:hAnsi="宋体"/>
          <w:color w:val="auto"/>
          <w:sz w:val="24"/>
          <w:szCs w:val="24"/>
          <w:highlight w:val="none"/>
        </w:rPr>
        <w:t>本项目不允许转包。</w:t>
      </w:r>
    </w:p>
    <w:p>
      <w:pPr>
        <w:snapToGrid w:val="0"/>
        <w:spacing w:line="520" w:lineRule="exact"/>
        <w:ind w:right="-506" w:rightChars="-241" w:firstLine="480" w:firstLineChars="200"/>
        <w:rPr>
          <w:rFonts w:ascii="宋体"/>
          <w:color w:val="auto"/>
          <w:sz w:val="24"/>
          <w:szCs w:val="24"/>
          <w:highlight w:val="none"/>
        </w:rPr>
      </w:pPr>
      <w:r>
        <w:rPr>
          <w:rFonts w:hint="eastAsia" w:ascii="宋体" w:hAnsi="宋体"/>
          <w:color w:val="auto"/>
          <w:sz w:val="24"/>
          <w:szCs w:val="24"/>
          <w:highlight w:val="none"/>
          <w:lang w:val="en-US" w:eastAsia="zh-CN"/>
        </w:rPr>
        <w:t>2.</w:t>
      </w:r>
      <w:r>
        <w:rPr>
          <w:rFonts w:hint="eastAsia" w:ascii="宋体" w:hAnsi="宋体"/>
          <w:color w:val="auto"/>
          <w:sz w:val="24"/>
          <w:szCs w:val="24"/>
          <w:highlight w:val="none"/>
        </w:rPr>
        <w:t>本项目不可以分包。</w:t>
      </w:r>
    </w:p>
    <w:p>
      <w:pPr>
        <w:spacing w:line="520" w:lineRule="exact"/>
        <w:ind w:right="-506" w:rightChars="-241" w:firstLine="602" w:firstLineChars="250"/>
        <w:jc w:val="left"/>
        <w:rPr>
          <w:rFonts w:ascii="宋体" w:cs="宋体"/>
          <w:b/>
          <w:bCs/>
          <w:color w:val="auto"/>
          <w:sz w:val="24"/>
          <w:szCs w:val="24"/>
          <w:highlight w:val="none"/>
        </w:rPr>
      </w:pPr>
      <w:r>
        <w:rPr>
          <w:rFonts w:hint="eastAsia" w:ascii="宋体" w:hAnsi="宋体" w:cs="宋体"/>
          <w:b/>
          <w:bCs/>
          <w:color w:val="auto"/>
          <w:sz w:val="24"/>
          <w:szCs w:val="24"/>
          <w:highlight w:val="none"/>
        </w:rPr>
        <w:t>（八）</w:t>
      </w: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rPr>
        <w:t>特别说明</w:t>
      </w:r>
    </w:p>
    <w:p>
      <w:pPr>
        <w:spacing w:line="520" w:lineRule="exact"/>
        <w:ind w:right="-506" w:rightChars="-241" w:firstLine="480" w:firstLineChars="200"/>
        <w:jc w:val="left"/>
        <w:rPr>
          <w:rFonts w:ascii="宋体"/>
          <w:color w:val="auto"/>
          <w:sz w:val="24"/>
          <w:szCs w:val="24"/>
          <w:highlight w:val="none"/>
        </w:rPr>
      </w:pPr>
      <w:r>
        <w:rPr>
          <w:rFonts w:ascii="宋体" w:hAnsi="宋体"/>
          <w:color w:val="auto"/>
          <w:sz w:val="24"/>
          <w:szCs w:val="24"/>
          <w:highlight w:val="none"/>
        </w:rPr>
        <w:t>1.</w:t>
      </w:r>
      <w:r>
        <w:rPr>
          <w:rFonts w:hint="eastAsia" w:ascii="宋体" w:hAnsi="宋体"/>
          <w:color w:val="auto"/>
          <w:sz w:val="24"/>
          <w:szCs w:val="24"/>
          <w:highlight w:val="none"/>
        </w:rPr>
        <w:t>多家</w:t>
      </w:r>
      <w:r>
        <w:rPr>
          <w:rFonts w:hint="eastAsia" w:ascii="宋体" w:hAnsi="宋体"/>
          <w:color w:val="auto"/>
          <w:sz w:val="24"/>
          <w:szCs w:val="24"/>
          <w:highlight w:val="none"/>
          <w:lang w:val="en-US" w:eastAsia="zh-CN"/>
        </w:rPr>
        <w:t>供应商</w:t>
      </w:r>
      <w:r>
        <w:rPr>
          <w:rFonts w:hint="eastAsia" w:ascii="宋体" w:hAnsi="宋体"/>
          <w:color w:val="auto"/>
          <w:sz w:val="24"/>
          <w:szCs w:val="24"/>
          <w:highlight w:val="none"/>
        </w:rPr>
        <w:t>参加投标，如其中两家或两家以上</w:t>
      </w:r>
      <w:r>
        <w:rPr>
          <w:rFonts w:hint="eastAsia" w:ascii="宋体" w:hAnsi="宋体"/>
          <w:color w:val="auto"/>
          <w:sz w:val="24"/>
          <w:szCs w:val="24"/>
          <w:highlight w:val="none"/>
          <w:lang w:val="en-US" w:eastAsia="zh-CN"/>
        </w:rPr>
        <w:t>供应商</w:t>
      </w:r>
      <w:r>
        <w:rPr>
          <w:rFonts w:hint="eastAsia" w:ascii="宋体" w:hAnsi="宋体"/>
          <w:color w:val="auto"/>
          <w:sz w:val="24"/>
          <w:szCs w:val="24"/>
          <w:highlight w:val="none"/>
        </w:rPr>
        <w:t>的法定代表人为同一人或相互之间存在投资关系且达到控股的，同时提供的是同一品牌产品的，应当按一个</w:t>
      </w:r>
      <w:r>
        <w:rPr>
          <w:rFonts w:hint="eastAsia" w:ascii="宋体" w:hAnsi="宋体"/>
          <w:color w:val="auto"/>
          <w:sz w:val="24"/>
          <w:szCs w:val="24"/>
          <w:highlight w:val="none"/>
          <w:lang w:val="en-US" w:eastAsia="zh-CN"/>
        </w:rPr>
        <w:t>响应人</w:t>
      </w:r>
      <w:r>
        <w:rPr>
          <w:rFonts w:hint="eastAsia" w:ascii="宋体" w:hAnsi="宋体"/>
          <w:color w:val="auto"/>
          <w:sz w:val="24"/>
          <w:szCs w:val="24"/>
          <w:highlight w:val="none"/>
        </w:rPr>
        <w:t>认定。评审时，取其中通过资格审查后的报价最低一家为有效</w:t>
      </w:r>
      <w:r>
        <w:rPr>
          <w:rFonts w:hint="eastAsia" w:ascii="宋体" w:hAnsi="宋体"/>
          <w:color w:val="auto"/>
          <w:sz w:val="24"/>
          <w:szCs w:val="24"/>
          <w:highlight w:val="none"/>
          <w:lang w:val="en-US" w:eastAsia="zh-CN"/>
        </w:rPr>
        <w:t>响应人</w:t>
      </w:r>
      <w:r>
        <w:rPr>
          <w:rFonts w:hint="eastAsia" w:ascii="宋体" w:hAnsi="宋体"/>
          <w:color w:val="auto"/>
          <w:sz w:val="24"/>
          <w:szCs w:val="24"/>
          <w:highlight w:val="none"/>
        </w:rPr>
        <w:t>；当报价相同时，则以技术标最优一家为有效</w:t>
      </w:r>
      <w:r>
        <w:rPr>
          <w:rFonts w:hint="eastAsia" w:ascii="宋体" w:hAnsi="宋体"/>
          <w:color w:val="auto"/>
          <w:sz w:val="24"/>
          <w:szCs w:val="24"/>
          <w:highlight w:val="none"/>
          <w:lang w:val="en-US" w:eastAsia="zh-CN"/>
        </w:rPr>
        <w:t>响应人</w:t>
      </w:r>
      <w:r>
        <w:rPr>
          <w:rFonts w:hint="eastAsia" w:ascii="宋体" w:hAnsi="宋体"/>
          <w:color w:val="auto"/>
          <w:sz w:val="24"/>
          <w:szCs w:val="24"/>
          <w:highlight w:val="none"/>
        </w:rPr>
        <w:t>；均相同时，由评标委员会集体决定。</w:t>
      </w:r>
    </w:p>
    <w:p>
      <w:pPr>
        <w:pStyle w:val="53"/>
        <w:snapToGrid w:val="0"/>
        <w:spacing w:before="120" w:after="120" w:line="520" w:lineRule="exact"/>
        <w:ind w:right="-506" w:rightChars="-241" w:firstLine="480" w:firstLineChars="200"/>
        <w:rPr>
          <w:rFonts w:hAnsi="宋体"/>
          <w:b/>
          <w:color w:val="auto"/>
          <w:sz w:val="24"/>
          <w:szCs w:val="24"/>
          <w:highlight w:val="none"/>
        </w:rPr>
      </w:pPr>
      <w:r>
        <w:rPr>
          <w:rFonts w:hAnsi="宋体"/>
          <w:color w:val="auto"/>
          <w:sz w:val="24"/>
          <w:szCs w:val="24"/>
          <w:highlight w:val="none"/>
        </w:rPr>
        <w:t>2.</w:t>
      </w:r>
      <w:r>
        <w:rPr>
          <w:rFonts w:hint="eastAsia" w:hAnsi="宋体"/>
          <w:color w:val="auto"/>
          <w:sz w:val="24"/>
          <w:szCs w:val="24"/>
          <w:highlight w:val="none"/>
          <w:lang w:val="en-US" w:eastAsia="zh-CN"/>
        </w:rPr>
        <w:t>响应人</w:t>
      </w:r>
      <w:r>
        <w:rPr>
          <w:rFonts w:hint="eastAsia" w:hAnsi="宋体"/>
          <w:color w:val="auto"/>
          <w:sz w:val="24"/>
          <w:szCs w:val="24"/>
          <w:highlight w:val="none"/>
        </w:rPr>
        <w:t>投标所使用的资格、信誉、荣誉、业绩与企业认证必须为本法人所拥有。</w:t>
      </w:r>
      <w:r>
        <w:rPr>
          <w:rFonts w:hint="eastAsia" w:hAnsi="宋体"/>
          <w:color w:val="auto"/>
          <w:sz w:val="24"/>
          <w:szCs w:val="24"/>
          <w:highlight w:val="none"/>
          <w:lang w:val="en-US" w:eastAsia="zh-CN"/>
        </w:rPr>
        <w:t>响应人</w:t>
      </w:r>
      <w:r>
        <w:rPr>
          <w:rFonts w:hint="eastAsia" w:hAnsi="宋体"/>
          <w:color w:val="auto"/>
          <w:sz w:val="24"/>
          <w:szCs w:val="24"/>
          <w:highlight w:val="none"/>
        </w:rPr>
        <w:t>所使用的采购项目实施人员必须为本法人员工</w:t>
      </w:r>
      <w:r>
        <w:rPr>
          <w:rFonts w:hint="eastAsia" w:hAnsi="宋体"/>
          <w:b/>
          <w:color w:val="auto"/>
          <w:sz w:val="24"/>
          <w:szCs w:val="24"/>
          <w:highlight w:val="none"/>
        </w:rPr>
        <w:t>。</w:t>
      </w:r>
    </w:p>
    <w:p>
      <w:pPr>
        <w:pStyle w:val="53"/>
        <w:snapToGrid w:val="0"/>
        <w:spacing w:before="120" w:after="120" w:line="520" w:lineRule="exact"/>
        <w:ind w:right="-506" w:rightChars="-241" w:firstLine="480" w:firstLineChars="200"/>
        <w:rPr>
          <w:rFonts w:hAnsi="宋体"/>
          <w:color w:val="auto"/>
          <w:sz w:val="24"/>
          <w:szCs w:val="24"/>
          <w:highlight w:val="none"/>
        </w:rPr>
      </w:pPr>
      <w:r>
        <w:rPr>
          <w:rFonts w:hAnsi="宋体"/>
          <w:color w:val="auto"/>
          <w:sz w:val="24"/>
          <w:szCs w:val="24"/>
          <w:highlight w:val="none"/>
        </w:rPr>
        <w:t>3.</w:t>
      </w:r>
      <w:r>
        <w:rPr>
          <w:rFonts w:hint="eastAsia" w:hAnsi="宋体"/>
          <w:color w:val="auto"/>
          <w:sz w:val="24"/>
          <w:szCs w:val="24"/>
          <w:highlight w:val="none"/>
          <w:lang w:val="en-US" w:eastAsia="zh-CN"/>
        </w:rPr>
        <w:t>响应人</w:t>
      </w:r>
      <w:r>
        <w:rPr>
          <w:rFonts w:hint="eastAsia" w:hAnsi="宋体"/>
          <w:color w:val="auto"/>
          <w:sz w:val="24"/>
          <w:szCs w:val="24"/>
          <w:highlight w:val="none"/>
        </w:rPr>
        <w:t>应仔细阅读</w:t>
      </w:r>
      <w:r>
        <w:rPr>
          <w:rFonts w:hint="eastAsia" w:hAnsi="宋体"/>
          <w:color w:val="auto"/>
          <w:sz w:val="24"/>
          <w:szCs w:val="24"/>
          <w:highlight w:val="none"/>
          <w:lang w:val="en-US" w:eastAsia="zh-CN"/>
        </w:rPr>
        <w:t>磋商</w:t>
      </w:r>
      <w:r>
        <w:rPr>
          <w:rFonts w:hint="eastAsia" w:hAnsi="宋体"/>
          <w:color w:val="auto"/>
          <w:sz w:val="24"/>
          <w:szCs w:val="24"/>
          <w:highlight w:val="none"/>
        </w:rPr>
        <w:t>文件的所有内容，按照</w:t>
      </w:r>
      <w:r>
        <w:rPr>
          <w:rFonts w:hint="eastAsia" w:hAnsi="宋体"/>
          <w:color w:val="auto"/>
          <w:sz w:val="24"/>
          <w:szCs w:val="24"/>
          <w:highlight w:val="none"/>
          <w:lang w:val="en-US" w:eastAsia="zh-CN"/>
        </w:rPr>
        <w:t>磋商</w:t>
      </w:r>
      <w:r>
        <w:rPr>
          <w:rFonts w:hint="eastAsia" w:hAnsi="宋体"/>
          <w:color w:val="auto"/>
          <w:sz w:val="24"/>
          <w:szCs w:val="24"/>
          <w:highlight w:val="none"/>
        </w:rPr>
        <w:t>文件的要求提交</w:t>
      </w:r>
      <w:r>
        <w:rPr>
          <w:rFonts w:hint="eastAsia" w:hAnsi="宋体"/>
          <w:color w:val="auto"/>
          <w:sz w:val="24"/>
          <w:szCs w:val="24"/>
          <w:highlight w:val="none"/>
          <w:lang w:val="en-US" w:eastAsia="zh-CN"/>
        </w:rPr>
        <w:t>磋商响应</w:t>
      </w:r>
      <w:r>
        <w:rPr>
          <w:rFonts w:hint="eastAsia" w:hAnsi="宋体"/>
          <w:color w:val="auto"/>
          <w:sz w:val="24"/>
          <w:szCs w:val="24"/>
          <w:highlight w:val="none"/>
        </w:rPr>
        <w:t>文件，并对所提供的全部资料的真实性承担法律责任。</w:t>
      </w:r>
    </w:p>
    <w:p>
      <w:pPr>
        <w:pStyle w:val="53"/>
        <w:snapToGrid w:val="0"/>
        <w:spacing w:before="120" w:after="120" w:line="520" w:lineRule="exact"/>
        <w:ind w:right="-506" w:rightChars="-241" w:firstLine="480" w:firstLineChars="200"/>
        <w:rPr>
          <w:rFonts w:hAnsi="宋体"/>
          <w:color w:val="auto"/>
          <w:sz w:val="24"/>
          <w:szCs w:val="24"/>
          <w:highlight w:val="none"/>
        </w:rPr>
      </w:pPr>
      <w:r>
        <w:rPr>
          <w:rFonts w:hAnsi="宋体"/>
          <w:color w:val="auto"/>
          <w:sz w:val="24"/>
          <w:szCs w:val="24"/>
          <w:highlight w:val="none"/>
        </w:rPr>
        <w:t>4.</w:t>
      </w:r>
      <w:r>
        <w:rPr>
          <w:rFonts w:hint="eastAsia" w:hAnsi="宋体"/>
          <w:color w:val="auto"/>
          <w:sz w:val="24"/>
          <w:szCs w:val="24"/>
          <w:highlight w:val="none"/>
          <w:lang w:val="en-US" w:eastAsia="zh-CN"/>
        </w:rPr>
        <w:t>响应人</w:t>
      </w:r>
      <w:r>
        <w:rPr>
          <w:rFonts w:hint="eastAsia" w:hAnsi="宋体"/>
          <w:color w:val="auto"/>
          <w:sz w:val="24"/>
          <w:szCs w:val="24"/>
          <w:highlight w:val="none"/>
        </w:rPr>
        <w:t>在</w:t>
      </w:r>
      <w:r>
        <w:rPr>
          <w:rFonts w:hint="eastAsia" w:hAnsi="宋体"/>
          <w:color w:val="auto"/>
          <w:sz w:val="24"/>
          <w:szCs w:val="24"/>
          <w:highlight w:val="none"/>
          <w:lang w:val="en-US" w:eastAsia="zh-CN"/>
        </w:rPr>
        <w:t>磋商</w:t>
      </w:r>
      <w:r>
        <w:rPr>
          <w:rFonts w:hint="eastAsia" w:hAnsi="宋体"/>
          <w:color w:val="auto"/>
          <w:sz w:val="24"/>
          <w:szCs w:val="24"/>
          <w:highlight w:val="none"/>
        </w:rPr>
        <w:t>活动中提供任何虚假材料</w:t>
      </w:r>
      <w:r>
        <w:rPr>
          <w:rFonts w:hAnsi="宋体"/>
          <w:color w:val="auto"/>
          <w:sz w:val="24"/>
          <w:szCs w:val="24"/>
          <w:highlight w:val="none"/>
        </w:rPr>
        <w:t>,</w:t>
      </w:r>
      <w:r>
        <w:rPr>
          <w:rFonts w:hint="eastAsia" w:hAnsi="宋体"/>
          <w:color w:val="auto"/>
          <w:sz w:val="24"/>
          <w:szCs w:val="24"/>
          <w:highlight w:val="none"/>
        </w:rPr>
        <w:t>其投标无效，并报监管部门查处；中标后发现的</w:t>
      </w:r>
      <w:r>
        <w:rPr>
          <w:rFonts w:hAnsi="宋体"/>
          <w:color w:val="auto"/>
          <w:sz w:val="24"/>
          <w:szCs w:val="24"/>
          <w:highlight w:val="none"/>
        </w:rPr>
        <w:t>,</w:t>
      </w:r>
      <w:r>
        <w:rPr>
          <w:rFonts w:hint="eastAsia" w:hAnsi="宋体"/>
          <w:color w:val="auto"/>
          <w:sz w:val="24"/>
          <w:szCs w:val="24"/>
          <w:highlight w:val="none"/>
        </w:rPr>
        <w:t>中标人须依照《中华人民共和国消费者权益保护法》第</w:t>
      </w:r>
      <w:r>
        <w:rPr>
          <w:rFonts w:hAnsi="宋体"/>
          <w:color w:val="auto"/>
          <w:sz w:val="24"/>
          <w:szCs w:val="24"/>
          <w:highlight w:val="none"/>
        </w:rPr>
        <w:t>49</w:t>
      </w:r>
      <w:r>
        <w:rPr>
          <w:rFonts w:hint="eastAsia" w:hAnsi="宋体"/>
          <w:color w:val="auto"/>
          <w:sz w:val="24"/>
          <w:szCs w:val="24"/>
          <w:highlight w:val="none"/>
        </w:rPr>
        <w:t>条之规定双倍赔偿采购人，且民事赔偿并不免除违法</w:t>
      </w:r>
      <w:r>
        <w:rPr>
          <w:rFonts w:hint="eastAsia" w:hAnsi="宋体"/>
          <w:color w:val="auto"/>
          <w:sz w:val="24"/>
          <w:szCs w:val="24"/>
          <w:highlight w:val="none"/>
          <w:lang w:val="en-US" w:eastAsia="zh-CN"/>
        </w:rPr>
        <w:t>响应人</w:t>
      </w:r>
      <w:r>
        <w:rPr>
          <w:rFonts w:hint="eastAsia" w:hAnsi="宋体"/>
          <w:color w:val="auto"/>
          <w:sz w:val="24"/>
          <w:szCs w:val="24"/>
          <w:highlight w:val="none"/>
        </w:rPr>
        <w:t>的行政与刑事责任。</w:t>
      </w:r>
    </w:p>
    <w:p>
      <w:pPr>
        <w:pStyle w:val="53"/>
        <w:adjustRightInd w:val="0"/>
        <w:snapToGrid w:val="0"/>
        <w:spacing w:before="120" w:after="120" w:line="520" w:lineRule="exact"/>
        <w:ind w:right="-506" w:rightChars="-241" w:firstLine="480" w:firstLineChars="200"/>
        <w:rPr>
          <w:rFonts w:hAnsi="宋体"/>
          <w:color w:val="auto"/>
          <w:sz w:val="24"/>
          <w:szCs w:val="24"/>
          <w:highlight w:val="none"/>
        </w:rPr>
      </w:pPr>
      <w:r>
        <w:rPr>
          <w:rFonts w:hint="eastAsia" w:hAnsi="宋体"/>
          <w:color w:val="auto"/>
          <w:sz w:val="24"/>
          <w:szCs w:val="24"/>
          <w:highlight w:val="none"/>
        </w:rPr>
        <w:t>5.</w:t>
      </w:r>
      <w:r>
        <w:rPr>
          <w:rFonts w:hAnsi="宋体"/>
          <w:color w:val="auto"/>
          <w:sz w:val="24"/>
          <w:szCs w:val="24"/>
          <w:highlight w:val="none"/>
        </w:rPr>
        <w:t>现场踏勘</w:t>
      </w:r>
    </w:p>
    <w:p>
      <w:pPr>
        <w:pStyle w:val="53"/>
        <w:adjustRightInd w:val="0"/>
        <w:snapToGrid w:val="0"/>
        <w:spacing w:before="120" w:after="120" w:line="520" w:lineRule="exact"/>
        <w:ind w:left="2" w:leftChars="1" w:right="-506" w:rightChars="-241" w:firstLine="480" w:firstLineChars="200"/>
        <w:rPr>
          <w:rFonts w:hAnsi="宋体"/>
          <w:color w:val="auto"/>
          <w:sz w:val="24"/>
          <w:szCs w:val="24"/>
          <w:highlight w:val="none"/>
        </w:rPr>
      </w:pPr>
      <w:r>
        <w:rPr>
          <w:rFonts w:hint="eastAsia" w:hAnsi="宋体"/>
          <w:color w:val="auto"/>
          <w:sz w:val="24"/>
          <w:szCs w:val="24"/>
          <w:highlight w:val="none"/>
          <w:lang w:val="en-US" w:eastAsia="zh-CN"/>
        </w:rPr>
        <w:t>1.</w:t>
      </w:r>
      <w:r>
        <w:rPr>
          <w:rFonts w:hAnsi="宋体"/>
          <w:color w:val="auto"/>
          <w:sz w:val="24"/>
          <w:szCs w:val="24"/>
          <w:highlight w:val="none"/>
        </w:rPr>
        <w:t>不组织集中踏勘，由各</w:t>
      </w:r>
      <w:r>
        <w:rPr>
          <w:rFonts w:hint="eastAsia" w:hAnsi="宋体"/>
          <w:color w:val="auto"/>
          <w:sz w:val="24"/>
          <w:szCs w:val="24"/>
          <w:highlight w:val="none"/>
          <w:lang w:val="en-US" w:eastAsia="zh-CN"/>
        </w:rPr>
        <w:t>响应人</w:t>
      </w:r>
      <w:r>
        <w:rPr>
          <w:rFonts w:hAnsi="宋体"/>
          <w:color w:val="auto"/>
          <w:sz w:val="24"/>
          <w:szCs w:val="24"/>
          <w:highlight w:val="none"/>
        </w:rPr>
        <w:t>自行安排。</w:t>
      </w:r>
      <w:r>
        <w:rPr>
          <w:rFonts w:hint="eastAsia" w:hAnsi="宋体"/>
          <w:color w:val="auto"/>
          <w:sz w:val="24"/>
          <w:szCs w:val="24"/>
          <w:highlight w:val="none"/>
          <w:lang w:val="en-US" w:eastAsia="zh-CN"/>
        </w:rPr>
        <w:t>响应人</w:t>
      </w:r>
      <w:r>
        <w:rPr>
          <w:rFonts w:hAnsi="宋体"/>
          <w:color w:val="auto"/>
          <w:sz w:val="24"/>
          <w:szCs w:val="24"/>
          <w:highlight w:val="none"/>
        </w:rPr>
        <w:t>在踏勘过程中发生的各类事件和所发生的各项费用，均由</w:t>
      </w:r>
      <w:r>
        <w:rPr>
          <w:rFonts w:hint="eastAsia" w:hAnsi="宋体"/>
          <w:color w:val="auto"/>
          <w:sz w:val="24"/>
          <w:szCs w:val="24"/>
          <w:highlight w:val="none"/>
          <w:lang w:val="en-US" w:eastAsia="zh-CN"/>
        </w:rPr>
        <w:t>响应人</w:t>
      </w:r>
      <w:r>
        <w:rPr>
          <w:rFonts w:hAnsi="宋体"/>
          <w:color w:val="auto"/>
          <w:sz w:val="24"/>
          <w:szCs w:val="24"/>
          <w:highlight w:val="none"/>
        </w:rPr>
        <w:t>自行承担，采购人概不负责。</w:t>
      </w:r>
    </w:p>
    <w:p>
      <w:pPr>
        <w:pStyle w:val="53"/>
        <w:snapToGrid w:val="0"/>
        <w:spacing w:before="120" w:after="120" w:line="520" w:lineRule="exact"/>
        <w:ind w:right="-506" w:rightChars="-241" w:firstLine="420"/>
        <w:rPr>
          <w:rFonts w:hAnsi="宋体"/>
          <w:color w:val="auto"/>
          <w:sz w:val="24"/>
          <w:szCs w:val="24"/>
          <w:highlight w:val="none"/>
        </w:rPr>
      </w:pPr>
      <w:r>
        <w:rPr>
          <w:rFonts w:hint="eastAsia" w:hAnsi="宋体"/>
          <w:color w:val="auto"/>
          <w:sz w:val="24"/>
          <w:szCs w:val="24"/>
          <w:highlight w:val="none"/>
          <w:lang w:val="en-US" w:eastAsia="zh-CN"/>
        </w:rPr>
        <w:t>2.</w:t>
      </w:r>
      <w:r>
        <w:rPr>
          <w:rFonts w:hAnsi="宋体"/>
          <w:color w:val="auto"/>
          <w:sz w:val="24"/>
          <w:szCs w:val="24"/>
          <w:highlight w:val="none"/>
        </w:rPr>
        <w:t>采购人向</w:t>
      </w:r>
      <w:r>
        <w:rPr>
          <w:rFonts w:hint="eastAsia" w:hAnsi="宋体"/>
          <w:color w:val="auto"/>
          <w:sz w:val="24"/>
          <w:szCs w:val="24"/>
          <w:highlight w:val="none"/>
          <w:lang w:val="en-US" w:eastAsia="zh-CN"/>
        </w:rPr>
        <w:t>响应人</w:t>
      </w:r>
      <w:r>
        <w:rPr>
          <w:rFonts w:hAnsi="宋体"/>
          <w:color w:val="auto"/>
          <w:sz w:val="24"/>
          <w:szCs w:val="24"/>
          <w:highlight w:val="none"/>
        </w:rPr>
        <w:t>提供的有关现场的数据和资料，是采购人现有的能被投标人利用的资料，采购人对</w:t>
      </w:r>
      <w:r>
        <w:rPr>
          <w:rFonts w:hint="eastAsia" w:hAnsi="宋体"/>
          <w:color w:val="auto"/>
          <w:sz w:val="24"/>
          <w:szCs w:val="24"/>
          <w:highlight w:val="none"/>
          <w:lang w:val="en-US" w:eastAsia="zh-CN"/>
        </w:rPr>
        <w:t>响应人</w:t>
      </w:r>
      <w:r>
        <w:rPr>
          <w:rFonts w:hAnsi="宋体"/>
          <w:color w:val="auto"/>
          <w:sz w:val="24"/>
          <w:szCs w:val="24"/>
          <w:highlight w:val="none"/>
        </w:rPr>
        <w:t>据此做出的任何推论、理解和结论不负责任。</w:t>
      </w:r>
    </w:p>
    <w:p>
      <w:pPr>
        <w:pStyle w:val="16"/>
        <w:widowControl/>
        <w:snapToGrid w:val="0"/>
        <w:spacing w:before="120" w:after="120" w:line="520" w:lineRule="exact"/>
        <w:ind w:firstLine="482" w:firstLineChars="200"/>
        <w:outlineLvl w:val="1"/>
        <w:rPr>
          <w:rFonts w:hAnsi="宋体" w:cs="宋体"/>
          <w:b/>
          <w:color w:val="auto"/>
          <w:sz w:val="24"/>
          <w:szCs w:val="24"/>
          <w:highlight w:val="none"/>
        </w:rPr>
      </w:pPr>
      <w:r>
        <w:rPr>
          <w:rFonts w:hint="eastAsia" w:hAnsi="宋体"/>
          <w:b/>
          <w:color w:val="auto"/>
          <w:sz w:val="24"/>
          <w:szCs w:val="24"/>
          <w:highlight w:val="none"/>
        </w:rPr>
        <w:t>（九）</w:t>
      </w:r>
      <w:r>
        <w:rPr>
          <w:rFonts w:hint="eastAsia" w:hAnsi="宋体"/>
          <w:b/>
          <w:color w:val="auto"/>
          <w:sz w:val="24"/>
          <w:szCs w:val="24"/>
          <w:highlight w:val="none"/>
          <w:lang w:eastAsia="zh-CN"/>
        </w:rPr>
        <w:t>、</w:t>
      </w:r>
      <w:r>
        <w:rPr>
          <w:rFonts w:hint="eastAsia" w:hAnsi="宋体" w:cs="宋体"/>
          <w:b/>
          <w:color w:val="auto"/>
          <w:sz w:val="24"/>
          <w:szCs w:val="24"/>
          <w:highlight w:val="none"/>
        </w:rPr>
        <w:t>质疑</w:t>
      </w:r>
    </w:p>
    <w:p>
      <w:pPr>
        <w:pStyle w:val="16"/>
        <w:widowControl/>
        <w:snapToGrid w:val="0"/>
        <w:spacing w:before="120" w:line="520" w:lineRule="exact"/>
        <w:ind w:firstLine="480" w:firstLineChars="200"/>
        <w:outlineLvl w:val="1"/>
        <w:rPr>
          <w:rFonts w:hAnsi="宋体" w:cs="宋体"/>
          <w:bCs/>
          <w:color w:val="auto"/>
          <w:sz w:val="24"/>
          <w:szCs w:val="24"/>
          <w:highlight w:val="none"/>
        </w:rPr>
      </w:pPr>
      <w:r>
        <w:rPr>
          <w:rFonts w:hint="eastAsia" w:hAnsi="宋体"/>
          <w:color w:val="auto"/>
          <w:sz w:val="24"/>
          <w:szCs w:val="24"/>
          <w:highlight w:val="none"/>
          <w:lang w:val="en-US" w:eastAsia="zh-CN"/>
        </w:rPr>
        <w:t>响应人</w:t>
      </w:r>
      <w:r>
        <w:rPr>
          <w:rFonts w:hint="eastAsia" w:hAnsi="宋体" w:cs="宋体"/>
          <w:bCs/>
          <w:color w:val="auto"/>
          <w:sz w:val="24"/>
          <w:szCs w:val="24"/>
          <w:highlight w:val="none"/>
        </w:rPr>
        <w:t>应当自知道或者应当知道其合法权益受到损害之日起</w:t>
      </w:r>
      <w:r>
        <w:rPr>
          <w:rFonts w:hint="eastAsia" w:hAnsi="宋体" w:cs="宋体"/>
          <w:bCs/>
          <w:color w:val="auto"/>
          <w:sz w:val="24"/>
          <w:szCs w:val="24"/>
          <w:highlight w:val="none"/>
          <w:lang w:val="en-US" w:eastAsia="zh-CN"/>
        </w:rPr>
        <w:t>三</w:t>
      </w:r>
      <w:r>
        <w:rPr>
          <w:rFonts w:hint="eastAsia" w:hAnsi="宋体" w:cs="宋体"/>
          <w:bCs/>
          <w:color w:val="auto"/>
          <w:sz w:val="24"/>
          <w:szCs w:val="24"/>
          <w:highlight w:val="none"/>
        </w:rPr>
        <w:t>个工作日内提出质疑。</w:t>
      </w:r>
    </w:p>
    <w:p>
      <w:pPr>
        <w:pStyle w:val="16"/>
        <w:widowControl/>
        <w:snapToGrid w:val="0"/>
        <w:spacing w:before="120" w:line="520" w:lineRule="exact"/>
        <w:ind w:firstLine="480" w:firstLineChars="200"/>
        <w:outlineLvl w:val="1"/>
        <w:rPr>
          <w:rFonts w:hAnsi="宋体" w:cs="宋体"/>
          <w:bCs/>
          <w:color w:val="auto"/>
          <w:sz w:val="24"/>
          <w:szCs w:val="24"/>
          <w:highlight w:val="none"/>
        </w:rPr>
      </w:pPr>
      <w:r>
        <w:rPr>
          <w:rFonts w:hAnsi="宋体" w:cs="宋体"/>
          <w:bCs/>
          <w:color w:val="auto"/>
          <w:sz w:val="24"/>
          <w:szCs w:val="24"/>
          <w:highlight w:val="none"/>
        </w:rPr>
        <w:t>1</w:t>
      </w:r>
      <w:r>
        <w:rPr>
          <w:rFonts w:hint="eastAsia" w:hAnsi="宋体" w:cs="宋体"/>
          <w:bCs/>
          <w:color w:val="auto"/>
          <w:sz w:val="24"/>
          <w:szCs w:val="24"/>
          <w:highlight w:val="none"/>
          <w:lang w:val="en-US" w:eastAsia="zh-CN"/>
        </w:rPr>
        <w:t>.</w:t>
      </w:r>
      <w:r>
        <w:rPr>
          <w:rFonts w:hint="eastAsia" w:hAnsi="宋体" w:cs="宋体"/>
          <w:bCs/>
          <w:color w:val="auto"/>
          <w:sz w:val="24"/>
          <w:szCs w:val="24"/>
          <w:highlight w:val="none"/>
        </w:rPr>
        <w:t>对</w:t>
      </w:r>
      <w:r>
        <w:rPr>
          <w:rFonts w:hint="eastAsia" w:hAnsi="宋体" w:cs="宋体"/>
          <w:bCs/>
          <w:color w:val="auto"/>
          <w:sz w:val="24"/>
          <w:szCs w:val="24"/>
          <w:highlight w:val="none"/>
          <w:lang w:val="en-US" w:eastAsia="zh-CN"/>
        </w:rPr>
        <w:t>磋商</w:t>
      </w:r>
      <w:r>
        <w:rPr>
          <w:rFonts w:hint="eastAsia" w:hAnsi="宋体" w:cs="宋体"/>
          <w:bCs/>
          <w:color w:val="auto"/>
          <w:sz w:val="24"/>
          <w:szCs w:val="24"/>
          <w:highlight w:val="none"/>
        </w:rPr>
        <w:t>文件提出质疑的，质疑期限自</w:t>
      </w:r>
      <w:r>
        <w:rPr>
          <w:rFonts w:hint="eastAsia" w:hAnsi="宋体" w:cs="宋体"/>
          <w:bCs/>
          <w:color w:val="auto"/>
          <w:sz w:val="24"/>
          <w:szCs w:val="24"/>
          <w:highlight w:val="none"/>
          <w:lang w:val="en-US" w:eastAsia="zh-CN"/>
        </w:rPr>
        <w:t>响应人</w:t>
      </w:r>
      <w:r>
        <w:rPr>
          <w:rFonts w:hint="eastAsia" w:hAnsi="宋体" w:cs="宋体"/>
          <w:bCs/>
          <w:color w:val="auto"/>
          <w:sz w:val="24"/>
          <w:szCs w:val="24"/>
          <w:highlight w:val="none"/>
        </w:rPr>
        <w:t>获得采购文件或网上报名之日（含</w:t>
      </w:r>
      <w:r>
        <w:rPr>
          <w:rFonts w:hint="eastAsia" w:hAnsi="宋体" w:cs="宋体"/>
          <w:bCs/>
          <w:color w:val="auto"/>
          <w:sz w:val="24"/>
          <w:szCs w:val="24"/>
          <w:highlight w:val="none"/>
          <w:lang w:val="en-US" w:eastAsia="zh-CN"/>
        </w:rPr>
        <w:t>磋商</w:t>
      </w:r>
      <w:r>
        <w:rPr>
          <w:rFonts w:hint="eastAsia" w:hAnsi="宋体" w:cs="宋体"/>
          <w:bCs/>
          <w:color w:val="auto"/>
          <w:sz w:val="24"/>
          <w:szCs w:val="24"/>
          <w:highlight w:val="none"/>
        </w:rPr>
        <w:t>文件变更公告发布之日）起计算，且应当在投标截止时间之前提出，否则，被质疑人可不予接受。</w:t>
      </w:r>
    </w:p>
    <w:p>
      <w:pPr>
        <w:pStyle w:val="16"/>
        <w:widowControl/>
        <w:snapToGrid w:val="0"/>
        <w:spacing w:before="120" w:line="520" w:lineRule="exact"/>
        <w:ind w:firstLine="480" w:firstLineChars="200"/>
        <w:outlineLvl w:val="1"/>
        <w:rPr>
          <w:rFonts w:hAnsi="宋体" w:cs="宋体"/>
          <w:bCs/>
          <w:color w:val="auto"/>
          <w:sz w:val="24"/>
          <w:szCs w:val="24"/>
          <w:highlight w:val="none"/>
        </w:rPr>
      </w:pPr>
      <w:r>
        <w:rPr>
          <w:rFonts w:hAnsi="宋体" w:cs="宋体"/>
          <w:bCs/>
          <w:color w:val="auto"/>
          <w:sz w:val="24"/>
          <w:szCs w:val="24"/>
          <w:highlight w:val="none"/>
        </w:rPr>
        <w:t>2</w:t>
      </w:r>
      <w:r>
        <w:rPr>
          <w:rFonts w:hint="eastAsia" w:hAnsi="宋体" w:cs="宋体"/>
          <w:bCs/>
          <w:color w:val="auto"/>
          <w:sz w:val="24"/>
          <w:szCs w:val="24"/>
          <w:highlight w:val="none"/>
          <w:lang w:val="en-US" w:eastAsia="zh-CN"/>
        </w:rPr>
        <w:t>.</w:t>
      </w:r>
      <w:r>
        <w:rPr>
          <w:rFonts w:hint="eastAsia" w:hAnsi="宋体" w:cs="宋体"/>
          <w:bCs/>
          <w:color w:val="auto"/>
          <w:sz w:val="24"/>
          <w:szCs w:val="24"/>
          <w:highlight w:val="none"/>
        </w:rPr>
        <w:t>对采购过程提出质疑的，为各采购程序环节结束之日。</w:t>
      </w:r>
    </w:p>
    <w:p>
      <w:pPr>
        <w:pStyle w:val="16"/>
        <w:widowControl/>
        <w:snapToGrid w:val="0"/>
        <w:spacing w:before="120" w:line="520" w:lineRule="exact"/>
        <w:ind w:firstLine="480" w:firstLineChars="200"/>
        <w:outlineLvl w:val="1"/>
        <w:rPr>
          <w:rFonts w:hAnsi="宋体" w:cs="宋体"/>
          <w:bCs/>
          <w:color w:val="auto"/>
          <w:sz w:val="24"/>
          <w:szCs w:val="24"/>
          <w:highlight w:val="none"/>
        </w:rPr>
      </w:pPr>
      <w:r>
        <w:rPr>
          <w:rFonts w:hAnsi="宋体" w:cs="宋体"/>
          <w:bCs/>
          <w:color w:val="auto"/>
          <w:sz w:val="24"/>
          <w:szCs w:val="24"/>
          <w:highlight w:val="none"/>
        </w:rPr>
        <w:t>3</w:t>
      </w:r>
      <w:r>
        <w:rPr>
          <w:rFonts w:hint="eastAsia" w:hAnsi="宋体" w:cs="宋体"/>
          <w:bCs/>
          <w:color w:val="auto"/>
          <w:sz w:val="24"/>
          <w:szCs w:val="24"/>
          <w:highlight w:val="none"/>
          <w:lang w:val="en-US" w:eastAsia="zh-CN"/>
        </w:rPr>
        <w:t>.</w:t>
      </w:r>
      <w:r>
        <w:rPr>
          <w:rFonts w:hint="eastAsia" w:hAnsi="宋体" w:cs="宋体"/>
          <w:bCs/>
          <w:color w:val="auto"/>
          <w:sz w:val="24"/>
          <w:szCs w:val="24"/>
          <w:highlight w:val="none"/>
        </w:rPr>
        <w:t>对采购结果提出质疑的，质疑期限自采购结果公告发布之日（包括结果变更公告发布之日）起计算。</w:t>
      </w:r>
    </w:p>
    <w:p>
      <w:pPr>
        <w:pStyle w:val="16"/>
        <w:widowControl/>
        <w:snapToGrid w:val="0"/>
        <w:spacing w:before="120" w:line="520" w:lineRule="exact"/>
        <w:ind w:firstLine="480" w:firstLineChars="200"/>
        <w:outlineLvl w:val="1"/>
        <w:rPr>
          <w:rFonts w:hAnsi="宋体" w:cs="宋体"/>
          <w:bCs/>
          <w:color w:val="auto"/>
          <w:sz w:val="24"/>
          <w:szCs w:val="24"/>
          <w:highlight w:val="none"/>
        </w:rPr>
      </w:pPr>
      <w:r>
        <w:rPr>
          <w:rFonts w:hAnsi="宋体" w:cs="宋体"/>
          <w:bCs/>
          <w:color w:val="auto"/>
          <w:sz w:val="24"/>
          <w:szCs w:val="24"/>
          <w:highlight w:val="none"/>
        </w:rPr>
        <w:t>4</w:t>
      </w:r>
      <w:r>
        <w:rPr>
          <w:rFonts w:hint="eastAsia" w:hAnsi="宋体" w:cs="宋体"/>
          <w:bCs/>
          <w:color w:val="auto"/>
          <w:sz w:val="24"/>
          <w:szCs w:val="24"/>
          <w:highlight w:val="none"/>
          <w:lang w:val="en-US" w:eastAsia="zh-CN"/>
        </w:rPr>
        <w:t>.</w:t>
      </w:r>
      <w:r>
        <w:rPr>
          <w:rFonts w:hint="eastAsia" w:hAnsi="宋体" w:cs="宋体"/>
          <w:bCs/>
          <w:color w:val="auto"/>
          <w:sz w:val="24"/>
          <w:szCs w:val="24"/>
          <w:highlight w:val="none"/>
        </w:rPr>
        <w:t>质疑书应包括下列主要内容：</w:t>
      </w:r>
    </w:p>
    <w:p>
      <w:pPr>
        <w:pStyle w:val="16"/>
        <w:widowControl/>
        <w:snapToGrid w:val="0"/>
        <w:spacing w:before="120" w:line="520" w:lineRule="exact"/>
        <w:ind w:firstLine="480" w:firstLineChars="200"/>
        <w:outlineLvl w:val="1"/>
        <w:rPr>
          <w:rFonts w:hAnsi="宋体" w:cs="宋体"/>
          <w:bCs/>
          <w:color w:val="auto"/>
          <w:sz w:val="24"/>
          <w:szCs w:val="24"/>
          <w:highlight w:val="none"/>
        </w:rPr>
      </w:pPr>
      <w:r>
        <w:rPr>
          <w:rFonts w:hint="eastAsia" w:hAnsi="宋体" w:cs="宋体"/>
          <w:bCs/>
          <w:color w:val="auto"/>
          <w:sz w:val="24"/>
          <w:szCs w:val="24"/>
          <w:highlight w:val="none"/>
          <w:lang w:val="en-US" w:eastAsia="zh-CN"/>
        </w:rPr>
        <w:t>4.1</w:t>
      </w:r>
      <w:r>
        <w:rPr>
          <w:rFonts w:hint="eastAsia" w:hAnsi="宋体" w:cs="宋体"/>
          <w:bCs/>
          <w:color w:val="auto"/>
          <w:sz w:val="24"/>
          <w:szCs w:val="24"/>
          <w:highlight w:val="none"/>
        </w:rPr>
        <w:t>质疑人的名称、地址、邮政编码、联系人、联系电话，以及被质疑人名称及联系方式；</w:t>
      </w:r>
    </w:p>
    <w:p>
      <w:pPr>
        <w:pStyle w:val="16"/>
        <w:widowControl/>
        <w:snapToGrid w:val="0"/>
        <w:spacing w:before="120" w:line="520" w:lineRule="exact"/>
        <w:ind w:firstLine="480" w:firstLineChars="200"/>
        <w:outlineLvl w:val="1"/>
        <w:rPr>
          <w:rFonts w:hAnsi="宋体" w:cs="宋体"/>
          <w:bCs/>
          <w:color w:val="auto"/>
          <w:sz w:val="24"/>
          <w:szCs w:val="24"/>
          <w:highlight w:val="none"/>
        </w:rPr>
      </w:pPr>
      <w:r>
        <w:rPr>
          <w:rFonts w:hint="eastAsia" w:hAnsi="宋体" w:cs="宋体"/>
          <w:bCs/>
          <w:color w:val="auto"/>
          <w:sz w:val="24"/>
          <w:szCs w:val="24"/>
          <w:highlight w:val="none"/>
          <w:lang w:val="en-US" w:eastAsia="zh-CN"/>
        </w:rPr>
        <w:t>4.2</w:t>
      </w:r>
      <w:r>
        <w:rPr>
          <w:rFonts w:hint="eastAsia" w:hAnsi="宋体" w:cs="宋体"/>
          <w:bCs/>
          <w:color w:val="auto"/>
          <w:sz w:val="24"/>
          <w:szCs w:val="24"/>
          <w:highlight w:val="none"/>
        </w:rPr>
        <w:t>被质疑采购项目名称、编号及采购内容；</w:t>
      </w:r>
    </w:p>
    <w:p>
      <w:pPr>
        <w:pStyle w:val="16"/>
        <w:widowControl/>
        <w:snapToGrid w:val="0"/>
        <w:spacing w:before="120" w:line="520" w:lineRule="exact"/>
        <w:ind w:firstLine="480" w:firstLineChars="200"/>
        <w:outlineLvl w:val="1"/>
        <w:rPr>
          <w:rFonts w:hAnsi="宋体" w:cs="宋体"/>
          <w:bCs/>
          <w:color w:val="auto"/>
          <w:sz w:val="24"/>
          <w:szCs w:val="24"/>
          <w:highlight w:val="none"/>
        </w:rPr>
      </w:pPr>
      <w:r>
        <w:rPr>
          <w:rFonts w:hint="eastAsia" w:hAnsi="宋体" w:cs="宋体"/>
          <w:bCs/>
          <w:color w:val="auto"/>
          <w:sz w:val="24"/>
          <w:szCs w:val="24"/>
          <w:highlight w:val="none"/>
          <w:lang w:val="en-US" w:eastAsia="zh-CN"/>
        </w:rPr>
        <w:t>4.3</w:t>
      </w:r>
      <w:r>
        <w:rPr>
          <w:rFonts w:hint="eastAsia" w:hAnsi="宋体" w:cs="宋体"/>
          <w:bCs/>
          <w:color w:val="auto"/>
          <w:sz w:val="24"/>
          <w:szCs w:val="24"/>
          <w:highlight w:val="none"/>
        </w:rPr>
        <w:t>具体的质疑事项及事实依据；</w:t>
      </w:r>
    </w:p>
    <w:p>
      <w:pPr>
        <w:pStyle w:val="16"/>
        <w:widowControl/>
        <w:snapToGrid w:val="0"/>
        <w:spacing w:before="120" w:line="520" w:lineRule="exact"/>
        <w:ind w:firstLine="480" w:firstLineChars="200"/>
        <w:outlineLvl w:val="1"/>
        <w:rPr>
          <w:rFonts w:hAnsi="宋体" w:cs="宋体"/>
          <w:bCs/>
          <w:color w:val="auto"/>
          <w:sz w:val="24"/>
          <w:szCs w:val="24"/>
          <w:highlight w:val="none"/>
        </w:rPr>
      </w:pPr>
      <w:r>
        <w:rPr>
          <w:rFonts w:hint="eastAsia" w:hAnsi="宋体" w:cs="宋体"/>
          <w:bCs/>
          <w:color w:val="auto"/>
          <w:sz w:val="24"/>
          <w:szCs w:val="24"/>
          <w:highlight w:val="none"/>
          <w:lang w:val="en-US" w:eastAsia="zh-CN"/>
        </w:rPr>
        <w:t>4.4</w:t>
      </w:r>
      <w:r>
        <w:rPr>
          <w:rFonts w:hint="eastAsia" w:hAnsi="宋体" w:cs="宋体"/>
          <w:bCs/>
          <w:color w:val="auto"/>
          <w:sz w:val="24"/>
          <w:szCs w:val="24"/>
          <w:highlight w:val="none"/>
        </w:rPr>
        <w:t>认为自己合法权益受到损害或可能受到损害的相关证据材料；</w:t>
      </w:r>
    </w:p>
    <w:p>
      <w:pPr>
        <w:pStyle w:val="16"/>
        <w:widowControl/>
        <w:snapToGrid w:val="0"/>
        <w:spacing w:before="120" w:line="520" w:lineRule="exact"/>
        <w:ind w:firstLine="480" w:firstLineChars="200"/>
        <w:outlineLvl w:val="1"/>
        <w:rPr>
          <w:rFonts w:hAnsi="宋体" w:cs="宋体"/>
          <w:bCs/>
          <w:color w:val="auto"/>
          <w:sz w:val="24"/>
          <w:szCs w:val="24"/>
          <w:highlight w:val="none"/>
        </w:rPr>
      </w:pPr>
      <w:r>
        <w:rPr>
          <w:rFonts w:hint="eastAsia" w:hAnsi="宋体" w:cs="宋体"/>
          <w:bCs/>
          <w:color w:val="auto"/>
          <w:sz w:val="24"/>
          <w:szCs w:val="24"/>
          <w:highlight w:val="none"/>
          <w:lang w:val="en-US" w:eastAsia="zh-CN"/>
        </w:rPr>
        <w:t>4.5</w:t>
      </w:r>
      <w:r>
        <w:rPr>
          <w:rFonts w:hint="eastAsia" w:hAnsi="宋体" w:cs="宋体"/>
          <w:bCs/>
          <w:color w:val="auto"/>
          <w:sz w:val="24"/>
          <w:szCs w:val="24"/>
          <w:highlight w:val="none"/>
        </w:rPr>
        <w:t>提出质疑的日期。</w:t>
      </w:r>
    </w:p>
    <w:p>
      <w:pPr>
        <w:pStyle w:val="16"/>
        <w:snapToGrid w:val="0"/>
        <w:spacing w:before="120" w:line="520" w:lineRule="exact"/>
        <w:ind w:right="-506" w:rightChars="-241" w:firstLine="3253" w:firstLineChars="1350"/>
        <w:rPr>
          <w:rFonts w:hAnsi="宋体"/>
          <w:b/>
          <w:color w:val="auto"/>
          <w:sz w:val="24"/>
          <w:szCs w:val="24"/>
          <w:highlight w:val="none"/>
        </w:rPr>
      </w:pPr>
      <w:r>
        <w:rPr>
          <w:rFonts w:hint="eastAsia" w:hAnsi="宋体"/>
          <w:b/>
          <w:color w:val="auto"/>
          <w:sz w:val="24"/>
          <w:szCs w:val="24"/>
          <w:highlight w:val="none"/>
        </w:rPr>
        <w:t>二</w:t>
      </w:r>
      <w:r>
        <w:rPr>
          <w:rFonts w:hint="eastAsia" w:hAnsi="宋体"/>
          <w:b/>
          <w:color w:val="auto"/>
          <w:sz w:val="24"/>
          <w:szCs w:val="24"/>
          <w:highlight w:val="none"/>
          <w:lang w:val="en-US" w:eastAsia="zh-CN"/>
        </w:rPr>
        <w:t xml:space="preserve"> 磋商</w:t>
      </w:r>
      <w:r>
        <w:rPr>
          <w:rFonts w:hint="eastAsia" w:hAnsi="宋体"/>
          <w:b/>
          <w:color w:val="auto"/>
          <w:sz w:val="24"/>
          <w:szCs w:val="24"/>
          <w:highlight w:val="none"/>
        </w:rPr>
        <w:t>文件</w:t>
      </w:r>
    </w:p>
    <w:p>
      <w:pPr>
        <w:snapToGrid w:val="0"/>
        <w:spacing w:before="120" w:line="520" w:lineRule="exact"/>
        <w:outlineLvl w:val="1"/>
        <w:rPr>
          <w:rFonts w:hint="eastAsia" w:hAnsi="宋体"/>
          <w:b/>
          <w:bCs w:val="0"/>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bCs w:val="0"/>
          <w:color w:val="auto"/>
          <w:sz w:val="24"/>
          <w:szCs w:val="24"/>
          <w:highlight w:val="none"/>
        </w:rPr>
        <w:t>（一）</w:t>
      </w:r>
      <w:r>
        <w:rPr>
          <w:rFonts w:hint="eastAsia" w:hAnsi="宋体"/>
          <w:b/>
          <w:bCs w:val="0"/>
          <w:color w:val="auto"/>
          <w:sz w:val="24"/>
          <w:szCs w:val="24"/>
          <w:highlight w:val="none"/>
          <w:lang w:eastAsia="zh-CN"/>
        </w:rPr>
        <w:t>、</w:t>
      </w:r>
      <w:r>
        <w:rPr>
          <w:rFonts w:hint="eastAsia" w:hAnsi="宋体"/>
          <w:b/>
          <w:bCs w:val="0"/>
          <w:color w:val="auto"/>
          <w:sz w:val="24"/>
          <w:szCs w:val="24"/>
          <w:highlight w:val="none"/>
        </w:rPr>
        <w:t>磋商文件的构成</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第一章  竞争性磋商公告</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第二章  采购需求</w:t>
      </w:r>
      <w:r>
        <w:rPr>
          <w:rFonts w:hint="eastAsia" w:hAnsi="宋体"/>
          <w:b w:val="0"/>
          <w:bCs/>
          <w:color w:val="auto"/>
          <w:sz w:val="24"/>
          <w:szCs w:val="24"/>
          <w:highlight w:val="none"/>
        </w:rPr>
        <w:tab/>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第三章  供应商须知</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第四章  磋商办法及标准</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第五章  合同主要条款</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第六章  磋商响应文件编制</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（二）</w:t>
      </w:r>
      <w:r>
        <w:rPr>
          <w:rFonts w:hint="eastAsia" w:hAnsi="宋体"/>
          <w:b w:val="0"/>
          <w:bCs/>
          <w:color w:val="auto"/>
          <w:sz w:val="24"/>
          <w:szCs w:val="24"/>
          <w:highlight w:val="none"/>
          <w:lang w:eastAsia="zh-CN"/>
        </w:rPr>
        <w:t>、</w:t>
      </w:r>
      <w:r>
        <w:rPr>
          <w:rFonts w:hint="eastAsia" w:hAnsi="宋体"/>
          <w:b w:val="0"/>
          <w:bCs/>
          <w:color w:val="auto"/>
          <w:sz w:val="24"/>
          <w:szCs w:val="24"/>
          <w:highlight w:val="none"/>
        </w:rPr>
        <w:t xml:space="preserve">磋商文件的澄清与修改 </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1</w:t>
      </w:r>
      <w:r>
        <w:rPr>
          <w:rFonts w:hint="eastAsia" w:hAnsi="宋体"/>
          <w:b w:val="0"/>
          <w:bCs/>
          <w:color w:val="auto"/>
          <w:sz w:val="24"/>
          <w:szCs w:val="24"/>
          <w:highlight w:val="none"/>
          <w:lang w:val="en-US" w:eastAsia="zh-CN"/>
        </w:rPr>
        <w:t>.</w:t>
      </w:r>
      <w:r>
        <w:rPr>
          <w:rFonts w:hint="eastAsia" w:hAnsi="宋体"/>
          <w:b w:val="0"/>
          <w:bCs/>
          <w:color w:val="auto"/>
          <w:sz w:val="24"/>
          <w:szCs w:val="24"/>
          <w:highlight w:val="none"/>
        </w:rPr>
        <w:t>磋商响应人应认真阅读本响应文件，发现其中有误或有要求不合理的，响应人必须在投标截止前3天内以书面形式要求采购人澄清。采购人对已发出的响应文件进行必要澄清、答复、修改或补充的，应当在响应文件要求提交磋商响应文件截止时间3天前以书面形式通知所有已购买响应文件的潜在响应人。</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2</w:t>
      </w:r>
      <w:r>
        <w:rPr>
          <w:rFonts w:hint="eastAsia" w:hAnsi="宋体"/>
          <w:b w:val="0"/>
          <w:bCs/>
          <w:color w:val="auto"/>
          <w:sz w:val="24"/>
          <w:szCs w:val="24"/>
          <w:highlight w:val="none"/>
          <w:lang w:val="en-US" w:eastAsia="zh-CN"/>
        </w:rPr>
        <w:t>.</w:t>
      </w:r>
      <w:r>
        <w:rPr>
          <w:rFonts w:hint="eastAsia" w:hAnsi="宋体"/>
          <w:b w:val="0"/>
          <w:bCs/>
          <w:color w:val="auto"/>
          <w:sz w:val="24"/>
          <w:szCs w:val="24"/>
          <w:highlight w:val="none"/>
        </w:rPr>
        <w:t>采购人以书面形式答复响应人要求澄清的问题，并将不包含问题来源的答复书面通知所有购买响应文件的潜在响应人；除书面答复以外的其他澄清方式及澄清内容均无效。</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3</w:t>
      </w:r>
      <w:r>
        <w:rPr>
          <w:rFonts w:hint="eastAsia" w:hAnsi="宋体"/>
          <w:b w:val="0"/>
          <w:bCs/>
          <w:color w:val="auto"/>
          <w:sz w:val="24"/>
          <w:szCs w:val="24"/>
          <w:highlight w:val="none"/>
          <w:lang w:val="en-US" w:eastAsia="zh-CN"/>
        </w:rPr>
        <w:t>.</w:t>
      </w:r>
      <w:r>
        <w:rPr>
          <w:rFonts w:hint="eastAsia" w:hAnsi="宋体"/>
          <w:b w:val="0"/>
          <w:bCs/>
          <w:color w:val="auto"/>
          <w:sz w:val="24"/>
          <w:szCs w:val="24"/>
          <w:highlight w:val="none"/>
        </w:rPr>
        <w:t>响应文件的答复、澄清、修改、补充通知实质上改变采购需求相关内容，且自响应文件的答复、澄清、修改、补充通知发出之日起至投标截止时间止不足3天的，采购人可视情况推迟投标截止时间和开标时间，并将变更后的时间书面通知所有已购买响应文件的潜在响应人。</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4</w:t>
      </w:r>
      <w:r>
        <w:rPr>
          <w:rFonts w:hint="eastAsia" w:hAnsi="宋体"/>
          <w:b w:val="0"/>
          <w:bCs/>
          <w:color w:val="auto"/>
          <w:sz w:val="24"/>
          <w:szCs w:val="24"/>
          <w:highlight w:val="none"/>
          <w:lang w:val="en-US" w:eastAsia="zh-CN"/>
        </w:rPr>
        <w:t>.</w:t>
      </w:r>
      <w:r>
        <w:rPr>
          <w:rFonts w:hint="eastAsia" w:hAnsi="宋体"/>
          <w:b w:val="0"/>
          <w:bCs/>
          <w:color w:val="auto"/>
          <w:sz w:val="24"/>
          <w:szCs w:val="24"/>
          <w:highlight w:val="none"/>
        </w:rPr>
        <w:t>响应文件澄清、答复、修改、补充的内容为响应文件的组成部分。当响应文件与响应文件的答复、澄清、修改、补充通知就同一内容的表述不一致时，以最后发出的书面文件为准。</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5</w:t>
      </w:r>
      <w:r>
        <w:rPr>
          <w:rFonts w:hint="eastAsia" w:hAnsi="宋体"/>
          <w:b w:val="0"/>
          <w:bCs/>
          <w:color w:val="auto"/>
          <w:sz w:val="24"/>
          <w:szCs w:val="24"/>
          <w:highlight w:val="none"/>
          <w:lang w:val="en-US" w:eastAsia="zh-CN"/>
        </w:rPr>
        <w:t>.</w:t>
      </w:r>
      <w:r>
        <w:rPr>
          <w:rFonts w:hint="eastAsia" w:hAnsi="宋体"/>
          <w:b w:val="0"/>
          <w:bCs/>
          <w:color w:val="auto"/>
          <w:sz w:val="24"/>
          <w:szCs w:val="24"/>
          <w:highlight w:val="none"/>
        </w:rPr>
        <w:t>响应文件的澄清、答复、修改或补充都应该通过本采购代理机构以法定形式发布，采购人非通过本采购代理机构的，不得擅自澄清、答复、修改或补充响应文件。</w:t>
      </w:r>
    </w:p>
    <w:p>
      <w:pPr>
        <w:snapToGrid w:val="0"/>
        <w:spacing w:before="120" w:line="520" w:lineRule="exact"/>
        <w:ind w:firstLine="2506" w:firstLineChars="1040"/>
        <w:outlineLvl w:val="1"/>
        <w:rPr>
          <w:rFonts w:hAnsi="宋体"/>
          <w:b/>
          <w:color w:val="auto"/>
          <w:sz w:val="24"/>
          <w:szCs w:val="24"/>
          <w:highlight w:val="none"/>
        </w:rPr>
      </w:pPr>
      <w:r>
        <w:rPr>
          <w:rFonts w:hint="eastAsia" w:hAnsi="宋体"/>
          <w:b/>
          <w:color w:val="auto"/>
          <w:sz w:val="24"/>
          <w:szCs w:val="24"/>
          <w:highlight w:val="none"/>
        </w:rPr>
        <w:br w:type="page"/>
      </w:r>
    </w:p>
    <w:p>
      <w:pPr>
        <w:pStyle w:val="16"/>
        <w:numPr>
          <w:ilvl w:val="0"/>
          <w:numId w:val="0"/>
        </w:numPr>
        <w:tabs>
          <w:tab w:val="clear" w:pos="360"/>
          <w:tab w:val="clear" w:pos="840"/>
          <w:tab w:val="clear" w:pos="1440"/>
        </w:tabs>
        <w:snapToGrid w:val="0"/>
        <w:spacing w:before="120" w:line="520" w:lineRule="exact"/>
        <w:jc w:val="center"/>
        <w:outlineLvl w:val="1"/>
        <w:rPr>
          <w:rFonts w:hint="eastAsia" w:hAnsi="宋体"/>
          <w:b w:val="0"/>
          <w:bCs/>
          <w:color w:val="auto"/>
          <w:sz w:val="24"/>
          <w:szCs w:val="24"/>
          <w:highlight w:val="none"/>
        </w:rPr>
      </w:pPr>
      <w:r>
        <w:rPr>
          <w:rFonts w:hint="eastAsia" w:hAnsi="宋体"/>
          <w:b/>
          <w:color w:val="auto"/>
          <w:sz w:val="24"/>
          <w:szCs w:val="24"/>
          <w:highlight w:val="none"/>
          <w:lang w:val="en-US" w:eastAsia="zh-CN"/>
        </w:rPr>
        <w:t>三 响应</w:t>
      </w:r>
      <w:r>
        <w:rPr>
          <w:rFonts w:hint="eastAsia" w:hAnsi="宋体"/>
          <w:b/>
          <w:color w:val="auto"/>
          <w:sz w:val="24"/>
          <w:szCs w:val="24"/>
          <w:highlight w:val="none"/>
        </w:rPr>
        <w:t>文件的编制</w:t>
      </w:r>
    </w:p>
    <w:p>
      <w:pPr>
        <w:pStyle w:val="16"/>
        <w:numPr>
          <w:ilvl w:val="0"/>
          <w:numId w:val="0"/>
        </w:numPr>
        <w:tabs>
          <w:tab w:val="clear" w:pos="360"/>
          <w:tab w:val="clear" w:pos="840"/>
          <w:tab w:val="clear" w:pos="1440"/>
        </w:tabs>
        <w:snapToGrid w:val="0"/>
        <w:spacing w:before="120" w:line="520" w:lineRule="exact"/>
        <w:jc w:val="both"/>
        <w:outlineLvl w:val="1"/>
        <w:rPr>
          <w:rFonts w:hint="eastAsia" w:hAnsi="宋体"/>
          <w:b w:val="0"/>
          <w:bCs/>
          <w:color w:val="auto"/>
          <w:sz w:val="24"/>
          <w:szCs w:val="24"/>
          <w:highlight w:val="none"/>
        </w:rPr>
      </w:pPr>
      <w:r>
        <w:rPr>
          <w:rFonts w:hint="eastAsia" w:hAnsi="宋体"/>
          <w:b/>
          <w:color w:val="auto"/>
          <w:sz w:val="24"/>
          <w:szCs w:val="24"/>
          <w:highlight w:val="none"/>
          <w:lang w:val="en-US" w:eastAsia="zh-CN"/>
        </w:rPr>
        <w:t xml:space="preserve">    </w:t>
      </w:r>
      <w:r>
        <w:rPr>
          <w:rFonts w:hint="eastAsia" w:hAnsi="宋体"/>
          <w:b/>
          <w:bCs w:val="0"/>
          <w:color w:val="auto"/>
          <w:sz w:val="24"/>
          <w:szCs w:val="24"/>
          <w:highlight w:val="none"/>
        </w:rPr>
        <w:t>（一）</w:t>
      </w:r>
      <w:r>
        <w:rPr>
          <w:rFonts w:hint="eastAsia" w:hAnsi="宋体"/>
          <w:b/>
          <w:bCs w:val="0"/>
          <w:color w:val="auto"/>
          <w:sz w:val="24"/>
          <w:szCs w:val="24"/>
          <w:highlight w:val="none"/>
          <w:lang w:eastAsia="zh-CN"/>
        </w:rPr>
        <w:t>、</w:t>
      </w:r>
      <w:r>
        <w:rPr>
          <w:rFonts w:hint="eastAsia" w:hAnsi="宋体"/>
          <w:b/>
          <w:bCs w:val="0"/>
          <w:color w:val="auto"/>
          <w:sz w:val="24"/>
          <w:szCs w:val="24"/>
          <w:highlight w:val="none"/>
        </w:rPr>
        <w:t>响应文件的组成</w:t>
      </w:r>
    </w:p>
    <w:p>
      <w:pPr>
        <w:snapToGrid w:val="0"/>
        <w:spacing w:before="120" w:line="520" w:lineRule="exact"/>
        <w:ind w:firstLine="480"/>
        <w:outlineLvl w:val="1"/>
        <w:rPr>
          <w:rFonts w:hint="eastAsia" w:hAnsi="宋体"/>
          <w:b w:val="0"/>
          <w:bCs/>
          <w:color w:val="auto"/>
          <w:sz w:val="24"/>
          <w:szCs w:val="24"/>
          <w:highlight w:val="none"/>
        </w:rPr>
      </w:pPr>
      <w:r>
        <w:rPr>
          <w:rFonts w:hint="eastAsia" w:hAnsi="宋体"/>
          <w:b w:val="0"/>
          <w:bCs/>
          <w:color w:val="auto"/>
          <w:sz w:val="24"/>
          <w:szCs w:val="24"/>
          <w:highlight w:val="none"/>
        </w:rPr>
        <w:t>响应文件由磋商报价文件、资格证明文件、商务技术文件组成。（具体要求详见第六章 磋商响应文件编制）</w:t>
      </w:r>
    </w:p>
    <w:p>
      <w:pPr>
        <w:snapToGrid w:val="0"/>
        <w:spacing w:before="120" w:line="520" w:lineRule="exact"/>
        <w:ind w:firstLine="480"/>
        <w:outlineLvl w:val="1"/>
        <w:rPr>
          <w:rFonts w:hint="eastAsia" w:hAnsi="宋体"/>
          <w:b w:val="0"/>
          <w:bCs/>
          <w:color w:val="auto"/>
          <w:sz w:val="24"/>
          <w:szCs w:val="24"/>
          <w:highlight w:val="none"/>
        </w:rPr>
      </w:pPr>
      <w:r>
        <w:rPr>
          <w:rFonts w:hint="eastAsia" w:hAnsi="宋体"/>
          <w:b/>
          <w:bCs w:val="0"/>
          <w:color w:val="auto"/>
          <w:sz w:val="24"/>
          <w:szCs w:val="24"/>
          <w:highlight w:val="none"/>
        </w:rPr>
        <w:t>（二）</w:t>
      </w:r>
      <w:r>
        <w:rPr>
          <w:rFonts w:hint="eastAsia" w:hAnsi="宋体"/>
          <w:b/>
          <w:bCs w:val="0"/>
          <w:color w:val="auto"/>
          <w:sz w:val="24"/>
          <w:szCs w:val="24"/>
          <w:highlight w:val="none"/>
          <w:lang w:eastAsia="zh-CN"/>
        </w:rPr>
        <w:t>、</w:t>
      </w:r>
      <w:r>
        <w:rPr>
          <w:rFonts w:hint="eastAsia" w:hAnsi="宋体"/>
          <w:b/>
          <w:bCs w:val="0"/>
          <w:color w:val="auto"/>
          <w:sz w:val="24"/>
          <w:szCs w:val="24"/>
          <w:highlight w:val="none"/>
        </w:rPr>
        <w:t>响应文件的语言及计量</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1</w:t>
      </w:r>
      <w:r>
        <w:rPr>
          <w:rFonts w:hint="eastAsia" w:hAnsi="宋体"/>
          <w:b w:val="0"/>
          <w:bCs/>
          <w:color w:val="auto"/>
          <w:sz w:val="24"/>
          <w:szCs w:val="24"/>
          <w:highlight w:val="none"/>
          <w:lang w:val="en-US" w:eastAsia="zh-CN"/>
        </w:rPr>
        <w:t>.</w:t>
      </w:r>
      <w:r>
        <w:rPr>
          <w:rFonts w:hint="eastAsia" w:hAnsi="宋体"/>
          <w:b w:val="0"/>
          <w:bCs/>
          <w:color w:val="auto"/>
          <w:sz w:val="24"/>
          <w:szCs w:val="24"/>
          <w:highlight w:val="none"/>
        </w:rPr>
        <w:t>磋商响应文件以及响应人与采购代理机构就有关投标事宜的所有来往函电，均应以中文汉语书写。除签名、盖章、专用名称、特殊证明材料等情形外，以中文汉语以外的文字表述的磋商响应文件视同未提供。</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2</w:t>
      </w:r>
      <w:r>
        <w:rPr>
          <w:rFonts w:hint="eastAsia" w:hAnsi="宋体"/>
          <w:b w:val="0"/>
          <w:bCs/>
          <w:color w:val="auto"/>
          <w:sz w:val="24"/>
          <w:szCs w:val="24"/>
          <w:highlight w:val="none"/>
          <w:lang w:val="en-US" w:eastAsia="zh-CN"/>
        </w:rPr>
        <w:t>.</w:t>
      </w:r>
      <w:r>
        <w:rPr>
          <w:rFonts w:hint="eastAsia" w:hAnsi="宋体"/>
          <w:b w:val="0"/>
          <w:bCs/>
          <w:color w:val="auto"/>
          <w:sz w:val="24"/>
          <w:szCs w:val="24"/>
          <w:highlight w:val="none"/>
        </w:rPr>
        <w:t>投标计量单位，应采用中华人民共和国法定计量单位（货币单位：人民币元），否则视同未响应。</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bCs w:val="0"/>
          <w:color w:val="auto"/>
          <w:sz w:val="24"/>
          <w:szCs w:val="24"/>
          <w:highlight w:val="none"/>
        </w:rPr>
        <w:t>（三）</w:t>
      </w:r>
      <w:r>
        <w:rPr>
          <w:rFonts w:hint="eastAsia" w:hAnsi="宋体"/>
          <w:b/>
          <w:bCs w:val="0"/>
          <w:color w:val="auto"/>
          <w:sz w:val="24"/>
          <w:szCs w:val="24"/>
          <w:highlight w:val="none"/>
          <w:lang w:eastAsia="zh-CN"/>
        </w:rPr>
        <w:t>、</w:t>
      </w:r>
      <w:r>
        <w:rPr>
          <w:rFonts w:hint="eastAsia" w:hAnsi="宋体"/>
          <w:b/>
          <w:bCs w:val="0"/>
          <w:color w:val="auto"/>
          <w:sz w:val="24"/>
          <w:szCs w:val="24"/>
          <w:highlight w:val="none"/>
        </w:rPr>
        <w:t>磋商报价</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1</w:t>
      </w:r>
      <w:r>
        <w:rPr>
          <w:rFonts w:hint="eastAsia" w:hAnsi="宋体"/>
          <w:b w:val="0"/>
          <w:bCs/>
          <w:color w:val="auto"/>
          <w:sz w:val="24"/>
          <w:szCs w:val="24"/>
          <w:highlight w:val="none"/>
          <w:lang w:val="en-US" w:eastAsia="zh-CN"/>
        </w:rPr>
        <w:t>.</w:t>
      </w:r>
      <w:r>
        <w:rPr>
          <w:rFonts w:hint="eastAsia" w:hAnsi="宋体"/>
          <w:b w:val="0"/>
          <w:bCs/>
          <w:color w:val="auto"/>
          <w:sz w:val="24"/>
          <w:szCs w:val="24"/>
          <w:highlight w:val="none"/>
          <w:lang w:val="zh-TW"/>
        </w:rPr>
        <w:t>投标报价是履行合同的最终价格，包括货品费、包装费、运输费、人工费</w:t>
      </w:r>
      <w:r>
        <w:rPr>
          <w:rFonts w:hint="eastAsia" w:hAnsi="宋体"/>
          <w:b w:val="0"/>
          <w:bCs/>
          <w:color w:val="auto"/>
          <w:sz w:val="24"/>
          <w:szCs w:val="24"/>
          <w:highlight w:val="none"/>
          <w:lang w:val="zh-CN"/>
        </w:rPr>
        <w:t>（包括人员工资、预计加班费用、社会保障费用、公积金、</w:t>
      </w:r>
      <w:r>
        <w:rPr>
          <w:rFonts w:hint="eastAsia" w:hAnsi="宋体"/>
          <w:b w:val="0"/>
          <w:bCs/>
          <w:color w:val="auto"/>
          <w:sz w:val="24"/>
          <w:szCs w:val="24"/>
          <w:highlight w:val="none"/>
          <w:lang w:val="zh-TW"/>
        </w:rPr>
        <w:t>福利费、</w:t>
      </w:r>
      <w:r>
        <w:rPr>
          <w:rFonts w:hint="eastAsia" w:hAnsi="宋体"/>
          <w:b w:val="0"/>
          <w:bCs/>
          <w:color w:val="auto"/>
          <w:sz w:val="24"/>
          <w:szCs w:val="24"/>
          <w:highlight w:val="none"/>
          <w:lang w:val="zh-CN"/>
        </w:rPr>
        <w:t>残疾人保障金等）</w:t>
      </w:r>
      <w:r>
        <w:rPr>
          <w:rFonts w:hint="eastAsia" w:hAnsi="宋体"/>
          <w:b w:val="0"/>
          <w:bCs/>
          <w:color w:val="auto"/>
          <w:sz w:val="24"/>
          <w:szCs w:val="24"/>
          <w:highlight w:val="none"/>
          <w:lang w:val="zh-TW"/>
        </w:rPr>
        <w:t>、设备设施费、专利费、培训费、风险费、管理费、利润、税金、质保、售后服务及其他伴随服务等一切必须费用。</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2</w:t>
      </w:r>
      <w:r>
        <w:rPr>
          <w:rFonts w:hint="eastAsia" w:hAnsi="宋体"/>
          <w:b w:val="0"/>
          <w:bCs/>
          <w:color w:val="auto"/>
          <w:sz w:val="24"/>
          <w:szCs w:val="24"/>
          <w:highlight w:val="none"/>
          <w:lang w:val="en-US" w:eastAsia="zh-CN"/>
        </w:rPr>
        <w:t>.</w:t>
      </w:r>
      <w:r>
        <w:rPr>
          <w:rFonts w:hint="eastAsia" w:hAnsi="宋体"/>
          <w:b w:val="0"/>
          <w:bCs/>
          <w:color w:val="auto"/>
          <w:sz w:val="24"/>
          <w:szCs w:val="24"/>
          <w:highlight w:val="none"/>
        </w:rPr>
        <w:t>磋商响应文件针对同一内容只允许有一个报价，有选择的或有条件的报价将不予接受。</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3</w:t>
      </w:r>
      <w:r>
        <w:rPr>
          <w:rFonts w:hint="eastAsia" w:hAnsi="宋体"/>
          <w:b w:val="0"/>
          <w:bCs/>
          <w:color w:val="auto"/>
          <w:sz w:val="24"/>
          <w:szCs w:val="24"/>
          <w:highlight w:val="none"/>
          <w:lang w:val="en-US" w:eastAsia="zh-CN"/>
        </w:rPr>
        <w:t>.</w:t>
      </w:r>
      <w:r>
        <w:rPr>
          <w:rFonts w:hint="eastAsia" w:hAnsi="宋体"/>
          <w:b w:val="0"/>
          <w:bCs/>
          <w:color w:val="auto"/>
          <w:sz w:val="24"/>
          <w:szCs w:val="24"/>
          <w:highlight w:val="none"/>
        </w:rPr>
        <w:t>按国家规定由中标人缴纳的各种税收已包含在投标总价内，由中标人向税务机关缴纳相关费用。</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bCs w:val="0"/>
          <w:color w:val="auto"/>
          <w:sz w:val="24"/>
          <w:szCs w:val="24"/>
          <w:highlight w:val="none"/>
        </w:rPr>
        <w:t>（四）</w:t>
      </w:r>
      <w:r>
        <w:rPr>
          <w:rFonts w:hint="eastAsia" w:hAnsi="宋体"/>
          <w:b/>
          <w:bCs w:val="0"/>
          <w:color w:val="auto"/>
          <w:sz w:val="24"/>
          <w:szCs w:val="24"/>
          <w:highlight w:val="none"/>
          <w:lang w:eastAsia="zh-CN"/>
        </w:rPr>
        <w:t>、</w:t>
      </w:r>
      <w:r>
        <w:rPr>
          <w:rFonts w:hint="eastAsia" w:hAnsi="宋体"/>
          <w:b/>
          <w:bCs w:val="0"/>
          <w:color w:val="auto"/>
          <w:sz w:val="24"/>
          <w:szCs w:val="24"/>
          <w:highlight w:val="none"/>
        </w:rPr>
        <w:t>响应文件的有效期</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1</w:t>
      </w:r>
      <w:r>
        <w:rPr>
          <w:rFonts w:hint="eastAsia" w:hAnsi="宋体"/>
          <w:b w:val="0"/>
          <w:bCs/>
          <w:color w:val="auto"/>
          <w:sz w:val="24"/>
          <w:szCs w:val="24"/>
          <w:highlight w:val="none"/>
          <w:lang w:val="en-US" w:eastAsia="zh-CN"/>
        </w:rPr>
        <w:t>.</w:t>
      </w:r>
      <w:r>
        <w:rPr>
          <w:rFonts w:hint="eastAsia" w:hAnsi="宋体"/>
          <w:b w:val="0"/>
          <w:bCs/>
          <w:color w:val="auto"/>
          <w:sz w:val="24"/>
          <w:szCs w:val="24"/>
          <w:highlight w:val="none"/>
        </w:rPr>
        <w:t>自投标截止日起90天磋商响应文件应保持有效。有效期不足的磋商响应文件将被拒绝。</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2</w:t>
      </w:r>
      <w:r>
        <w:rPr>
          <w:rFonts w:hint="eastAsia" w:hAnsi="宋体"/>
          <w:b w:val="0"/>
          <w:bCs/>
          <w:color w:val="auto"/>
          <w:sz w:val="24"/>
          <w:szCs w:val="24"/>
          <w:highlight w:val="none"/>
          <w:lang w:val="en-US" w:eastAsia="zh-CN"/>
        </w:rPr>
        <w:t>.</w:t>
      </w:r>
      <w:r>
        <w:rPr>
          <w:rFonts w:hint="eastAsia" w:hAnsi="宋体"/>
          <w:b w:val="0"/>
          <w:bCs/>
          <w:color w:val="auto"/>
          <w:sz w:val="24"/>
          <w:szCs w:val="24"/>
          <w:highlight w:val="none"/>
        </w:rPr>
        <w:t>在特殊情况下，采购人可与响应人协商延长磋商响应文件的有效期，这种要求和答复均以书面形式进行。</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3</w:t>
      </w:r>
      <w:r>
        <w:rPr>
          <w:rFonts w:hint="eastAsia" w:hAnsi="宋体"/>
          <w:b w:val="0"/>
          <w:bCs/>
          <w:color w:val="auto"/>
          <w:sz w:val="24"/>
          <w:szCs w:val="24"/>
          <w:highlight w:val="none"/>
          <w:lang w:val="en-US" w:eastAsia="zh-CN"/>
        </w:rPr>
        <w:t>.</w:t>
      </w:r>
      <w:r>
        <w:rPr>
          <w:rFonts w:hint="eastAsia" w:hAnsi="宋体"/>
          <w:b w:val="0"/>
          <w:bCs/>
          <w:color w:val="auto"/>
          <w:sz w:val="24"/>
          <w:szCs w:val="24"/>
          <w:highlight w:val="none"/>
        </w:rPr>
        <w:t xml:space="preserve">响应人同意延长有效期的响应人需要相应延长投标保证金的有效期，但不能修改磋商响应文件。 </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4、中标人的磋商响应文件自开标之日起至合同履行完毕止均应保持有效。</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bCs w:val="0"/>
          <w:color w:val="auto"/>
          <w:sz w:val="24"/>
          <w:szCs w:val="24"/>
          <w:highlight w:val="none"/>
        </w:rPr>
        <w:t>（五）</w:t>
      </w:r>
      <w:r>
        <w:rPr>
          <w:rFonts w:hint="eastAsia" w:hAnsi="宋体"/>
          <w:b/>
          <w:bCs w:val="0"/>
          <w:color w:val="auto"/>
          <w:sz w:val="24"/>
          <w:szCs w:val="24"/>
          <w:highlight w:val="none"/>
          <w:lang w:eastAsia="zh-CN"/>
        </w:rPr>
        <w:t>、</w:t>
      </w:r>
      <w:r>
        <w:rPr>
          <w:rFonts w:hint="eastAsia" w:hAnsi="宋体"/>
          <w:b/>
          <w:bCs w:val="0"/>
          <w:color w:val="auto"/>
          <w:sz w:val="24"/>
          <w:szCs w:val="24"/>
          <w:highlight w:val="none"/>
        </w:rPr>
        <w:t>响应文件的签署和编制</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1</w:t>
      </w:r>
      <w:r>
        <w:rPr>
          <w:rFonts w:hint="eastAsia" w:hAnsi="宋体"/>
          <w:b w:val="0"/>
          <w:bCs/>
          <w:color w:val="auto"/>
          <w:sz w:val="24"/>
          <w:szCs w:val="24"/>
          <w:highlight w:val="none"/>
          <w:lang w:val="en-US" w:eastAsia="zh-CN"/>
        </w:rPr>
        <w:t>.</w:t>
      </w:r>
      <w:r>
        <w:rPr>
          <w:rFonts w:hint="eastAsia" w:hAnsi="宋体"/>
          <w:b w:val="0"/>
          <w:bCs/>
          <w:color w:val="auto"/>
          <w:sz w:val="24"/>
          <w:szCs w:val="24"/>
          <w:highlight w:val="none"/>
        </w:rPr>
        <w:t>响应人按本响应文件规定的格式和顺序编制、装订磋商响应文件，磋商响应文件内容不完整、编排混乱导致磋商响应文件被误读、漏读或者查找不到相关内容的，视为响应人自身的责任。</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2</w:t>
      </w:r>
      <w:r>
        <w:rPr>
          <w:rFonts w:hint="eastAsia" w:hAnsi="宋体"/>
          <w:b w:val="0"/>
          <w:bCs/>
          <w:color w:val="auto"/>
          <w:sz w:val="24"/>
          <w:szCs w:val="24"/>
          <w:highlight w:val="none"/>
          <w:lang w:val="en-US" w:eastAsia="zh-CN"/>
        </w:rPr>
        <w:t>.</w:t>
      </w:r>
      <w:r>
        <w:rPr>
          <w:rFonts w:hint="eastAsia" w:hAnsi="宋体"/>
          <w:b w:val="0"/>
          <w:bCs/>
          <w:color w:val="auto"/>
          <w:sz w:val="24"/>
          <w:szCs w:val="24"/>
          <w:highlight w:val="none"/>
        </w:rPr>
        <w:t>响应人应按资格证明文件、商务文件、技术文件顺序编制，并装订成册，磋商响应文件的封面应注明“正本”、“副本”字样。</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3</w:t>
      </w:r>
      <w:r>
        <w:rPr>
          <w:rFonts w:hint="eastAsia" w:hAnsi="宋体"/>
          <w:b w:val="0"/>
          <w:bCs/>
          <w:color w:val="auto"/>
          <w:sz w:val="24"/>
          <w:szCs w:val="24"/>
          <w:highlight w:val="none"/>
          <w:lang w:val="en-US" w:eastAsia="zh-CN"/>
        </w:rPr>
        <w:t>.</w:t>
      </w:r>
      <w:r>
        <w:rPr>
          <w:rFonts w:hint="eastAsia" w:hAnsi="宋体"/>
          <w:b w:val="0"/>
          <w:bCs/>
          <w:color w:val="auto"/>
          <w:sz w:val="24"/>
          <w:szCs w:val="24"/>
          <w:highlight w:val="none"/>
        </w:rPr>
        <w:t>磋商响应文件的正本需打印或用不褪色的墨水填写，磋商响应文件正本除本响应人须知中规定的可提供复印件外均须提供原件（复印件须加盖响应人公章）。副本为正本的复印件。</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4</w:t>
      </w:r>
      <w:r>
        <w:rPr>
          <w:rFonts w:hint="eastAsia" w:hAnsi="宋体"/>
          <w:b w:val="0"/>
          <w:bCs/>
          <w:color w:val="auto"/>
          <w:sz w:val="24"/>
          <w:szCs w:val="24"/>
          <w:highlight w:val="none"/>
          <w:lang w:val="en-US" w:eastAsia="zh-CN"/>
        </w:rPr>
        <w:t>.</w:t>
      </w:r>
      <w:r>
        <w:rPr>
          <w:rFonts w:hint="eastAsia" w:hAnsi="宋体"/>
          <w:b w:val="0"/>
          <w:bCs/>
          <w:color w:val="auto"/>
          <w:sz w:val="24"/>
          <w:szCs w:val="24"/>
          <w:highlight w:val="none"/>
        </w:rPr>
        <w:t>磋商响应文件须由响应人在规定位置盖章并由响应人代表签署，响应人应写全称。</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5</w:t>
      </w:r>
      <w:r>
        <w:rPr>
          <w:rFonts w:hint="eastAsia" w:hAnsi="宋体"/>
          <w:b w:val="0"/>
          <w:bCs/>
          <w:color w:val="auto"/>
          <w:sz w:val="24"/>
          <w:szCs w:val="24"/>
          <w:highlight w:val="none"/>
          <w:lang w:val="en-US" w:eastAsia="zh-CN"/>
        </w:rPr>
        <w:t>.</w:t>
      </w:r>
      <w:r>
        <w:rPr>
          <w:rFonts w:hint="eastAsia" w:hAnsi="宋体"/>
          <w:b w:val="0"/>
          <w:bCs/>
          <w:color w:val="auto"/>
          <w:sz w:val="24"/>
          <w:szCs w:val="24"/>
          <w:highlight w:val="none"/>
        </w:rPr>
        <w:t>磋商响应文件不得涂改，若有修改错漏处，须加盖单位公章或者法定代表人或授权委托人签字或盖章。招标要求或磋商响应文件中须加盖公章或者签字的，响应人在磋商响应文件中未加盖公章或未签字的作无效处理，相关材料可以认定为无效。磋商响应文件因字迹潦草或表达不清所引起的后果由响应人负责。</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bCs w:val="0"/>
          <w:color w:val="auto"/>
          <w:sz w:val="24"/>
          <w:szCs w:val="24"/>
          <w:highlight w:val="none"/>
        </w:rPr>
        <w:t>（六）</w:t>
      </w:r>
      <w:r>
        <w:rPr>
          <w:rFonts w:hint="eastAsia" w:hAnsi="宋体"/>
          <w:b/>
          <w:bCs w:val="0"/>
          <w:color w:val="auto"/>
          <w:sz w:val="24"/>
          <w:szCs w:val="24"/>
          <w:highlight w:val="none"/>
          <w:lang w:eastAsia="zh-CN"/>
        </w:rPr>
        <w:t>、</w:t>
      </w:r>
      <w:r>
        <w:rPr>
          <w:rFonts w:hint="eastAsia" w:hAnsi="宋体"/>
          <w:b/>
          <w:bCs w:val="0"/>
          <w:color w:val="auto"/>
          <w:sz w:val="24"/>
          <w:szCs w:val="24"/>
          <w:highlight w:val="none"/>
        </w:rPr>
        <w:t>响应文件的包装、密封、修改和撤回</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1</w:t>
      </w:r>
      <w:r>
        <w:rPr>
          <w:rFonts w:hint="eastAsia" w:hAnsi="宋体"/>
          <w:b w:val="0"/>
          <w:bCs/>
          <w:color w:val="auto"/>
          <w:sz w:val="24"/>
          <w:szCs w:val="24"/>
          <w:highlight w:val="none"/>
          <w:lang w:val="en-US" w:eastAsia="zh-CN"/>
        </w:rPr>
        <w:t>.</w:t>
      </w:r>
      <w:r>
        <w:rPr>
          <w:rFonts w:hint="eastAsia" w:hAnsi="宋体"/>
          <w:b w:val="0"/>
          <w:bCs/>
          <w:color w:val="auto"/>
          <w:sz w:val="24"/>
          <w:szCs w:val="24"/>
          <w:highlight w:val="none"/>
        </w:rPr>
        <w:t>磋商响应文件的资格证明文件、商务文件、技术文件、电子文档按顺序装订成册，装订必须牢固可靠且不能脱落。</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2</w:t>
      </w:r>
      <w:r>
        <w:rPr>
          <w:rFonts w:hint="eastAsia" w:hAnsi="宋体"/>
          <w:b w:val="0"/>
          <w:bCs/>
          <w:color w:val="auto"/>
          <w:sz w:val="24"/>
          <w:szCs w:val="24"/>
          <w:highlight w:val="none"/>
          <w:lang w:val="en-US" w:eastAsia="zh-CN"/>
        </w:rPr>
        <w:t>.</w:t>
      </w:r>
      <w:r>
        <w:rPr>
          <w:rFonts w:hint="eastAsia" w:hAnsi="宋体"/>
          <w:b w:val="0"/>
          <w:bCs/>
          <w:color w:val="auto"/>
          <w:sz w:val="24"/>
          <w:szCs w:val="24"/>
          <w:highlight w:val="none"/>
        </w:rPr>
        <w:t>磋商响应文件封装后，外包装封面上应注明响应人名称、响应人地址、磋商响应文件名称（资质证明文件、商务及技术文件）、投标项目名称、项目编号、标项（如有），并加盖响应人公章。</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3</w:t>
      </w:r>
      <w:r>
        <w:rPr>
          <w:rFonts w:hint="eastAsia" w:hAnsi="宋体"/>
          <w:b w:val="0"/>
          <w:bCs/>
          <w:color w:val="auto"/>
          <w:sz w:val="24"/>
          <w:szCs w:val="24"/>
          <w:highlight w:val="none"/>
          <w:lang w:val="en-US" w:eastAsia="zh-CN"/>
        </w:rPr>
        <w:t>.</w:t>
      </w:r>
      <w:r>
        <w:rPr>
          <w:rFonts w:hint="eastAsia" w:hAnsi="宋体"/>
          <w:b w:val="0"/>
          <w:bCs/>
          <w:color w:val="auto"/>
          <w:sz w:val="24"/>
          <w:szCs w:val="24"/>
          <w:highlight w:val="none"/>
        </w:rPr>
        <w:t>磋商报价文件须单独密封，封面上注明投标项目名称、项目编号、标项（如有），并加盖响应人公章。</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4</w:t>
      </w:r>
      <w:r>
        <w:rPr>
          <w:rFonts w:hint="eastAsia" w:hAnsi="宋体"/>
          <w:b w:val="0"/>
          <w:bCs/>
          <w:color w:val="auto"/>
          <w:sz w:val="24"/>
          <w:szCs w:val="24"/>
          <w:highlight w:val="none"/>
          <w:lang w:val="en-US" w:eastAsia="zh-CN"/>
        </w:rPr>
        <w:t>.</w:t>
      </w:r>
      <w:r>
        <w:rPr>
          <w:rFonts w:hint="eastAsia" w:hAnsi="宋体"/>
          <w:b w:val="0"/>
          <w:bCs/>
          <w:color w:val="auto"/>
          <w:sz w:val="24"/>
          <w:szCs w:val="24"/>
          <w:highlight w:val="none"/>
        </w:rPr>
        <w:t>磋商响应文件的具体包装密封说明：磋商响应文件的具体包装密封说明：磋商响应文件具体为：（资格、商务、技术部分）正本和所有副本放入一个密封袋，另外磋商报价文件须单独放入一个密封袋。</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 xml:space="preserve">在密封袋包装封面上注明项目名称、招标编号、磋商响应文件内容（注明资格证明文件，商务技术文件，报价文件等相关字样）、响应人名称、响应人地址及“启封时间”，并加盖响应人公章。未按规定密封或标记的磋商响应文件将被拒收。 </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5</w:t>
      </w:r>
      <w:r>
        <w:rPr>
          <w:rFonts w:hint="eastAsia" w:hAnsi="宋体"/>
          <w:b w:val="0"/>
          <w:bCs/>
          <w:color w:val="auto"/>
          <w:sz w:val="24"/>
          <w:szCs w:val="24"/>
          <w:highlight w:val="none"/>
          <w:lang w:val="en-US" w:eastAsia="zh-CN"/>
        </w:rPr>
        <w:t>.</w:t>
      </w:r>
      <w:r>
        <w:rPr>
          <w:rFonts w:hint="eastAsia" w:hAnsi="宋体"/>
          <w:b w:val="0"/>
          <w:bCs/>
          <w:color w:val="auto"/>
          <w:sz w:val="24"/>
          <w:szCs w:val="24"/>
          <w:highlight w:val="none"/>
        </w:rPr>
        <w:t>磋商响应文件的提交：响应人应在投标截止时间前将已密封的磋商响应文件送至指定接收地点，超过投标截止时间送达的磋商响应文件将被拒收。</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6</w:t>
      </w:r>
      <w:r>
        <w:rPr>
          <w:rFonts w:hint="eastAsia" w:hAnsi="宋体"/>
          <w:b w:val="0"/>
          <w:bCs/>
          <w:color w:val="auto"/>
          <w:sz w:val="24"/>
          <w:szCs w:val="24"/>
          <w:highlight w:val="none"/>
          <w:lang w:val="en-US" w:eastAsia="zh-CN"/>
        </w:rPr>
        <w:t>.</w:t>
      </w:r>
      <w:r>
        <w:rPr>
          <w:rFonts w:hint="eastAsia" w:hAnsi="宋体"/>
          <w:b w:val="0"/>
          <w:bCs/>
          <w:color w:val="auto"/>
          <w:sz w:val="24"/>
          <w:szCs w:val="24"/>
          <w:highlight w:val="none"/>
        </w:rPr>
        <w:t>磋商响应文件的撤回：响应人在投标截止时间前，可以书面通知（加盖公章）采购人，对所递交的磋商响应文件进行补充、修改或者撤回。补充、修改的内容应当按照响应文件要求签署、盖章、密封后，作为磋商响应文件的组成部分。</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bCs w:val="0"/>
          <w:color w:val="auto"/>
          <w:sz w:val="24"/>
          <w:szCs w:val="24"/>
          <w:highlight w:val="none"/>
        </w:rPr>
        <w:t>（七）</w:t>
      </w:r>
      <w:r>
        <w:rPr>
          <w:rFonts w:hint="eastAsia" w:hAnsi="宋体"/>
          <w:b/>
          <w:bCs w:val="0"/>
          <w:color w:val="auto"/>
          <w:sz w:val="24"/>
          <w:szCs w:val="24"/>
          <w:highlight w:val="none"/>
          <w:lang w:eastAsia="zh-CN"/>
        </w:rPr>
        <w:t>、</w:t>
      </w:r>
      <w:r>
        <w:rPr>
          <w:rFonts w:hint="eastAsia" w:hAnsi="宋体"/>
          <w:b/>
          <w:bCs w:val="0"/>
          <w:color w:val="auto"/>
          <w:sz w:val="24"/>
          <w:szCs w:val="24"/>
          <w:highlight w:val="none"/>
        </w:rPr>
        <w:t>投标无效的情形</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实质上没有响应响应文件要求的投标将被视为无效投标。响应人不得通过修正或撤消不合要求的偏离或保留从而使其投标成为实质上响应的投标。经评审小组认定属于响应人笔误所造成的差错，应当允许其在评标结束之前进行修改或者补正（可以是复印件、传真件等）。修改或者补正磋商响应文件必须以书面形式进行，并应在中标结果公告之前查核原件。限期内不补正或经补正后仍不符合响应文件要求的，应认定其投标无效。响应人修改、补正磋商响应文件后，不影响评审小组对其磋商响应文件所作的评价和评分结果。</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1</w:t>
      </w:r>
      <w:r>
        <w:rPr>
          <w:rFonts w:hint="eastAsia" w:hAnsi="宋体"/>
          <w:b w:val="0"/>
          <w:bCs/>
          <w:color w:val="auto"/>
          <w:sz w:val="24"/>
          <w:szCs w:val="24"/>
          <w:highlight w:val="none"/>
          <w:lang w:val="en-US" w:eastAsia="zh-CN"/>
        </w:rPr>
        <w:t>.</w:t>
      </w:r>
      <w:r>
        <w:rPr>
          <w:rFonts w:hint="eastAsia" w:hAnsi="宋体"/>
          <w:b w:val="0"/>
          <w:bCs/>
          <w:color w:val="auto"/>
          <w:sz w:val="24"/>
          <w:szCs w:val="24"/>
          <w:highlight w:val="none"/>
        </w:rPr>
        <w:t>在符合性审查和商务评审时，如发现下列情形之一的，磋商响应文件将被视为无效投标：</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1.1磋商响应文件未按响应文件要求密封、签字、盖章的；</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1.2资格证明文件不全的，或者不符合响应文件标明的资格要求的；</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1.3磋商响应文件组成不全的；</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1.4磋商响应文件无法定代表人或授权人签字；或未提供法定代表人授权委托书；</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1.5投标代表人未能出具身份证明或与法定代表人授权委托人身份不符的；</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1.6磋商响应文件的实质性内容未使用中文表述、意思表述不明确、前后矛盾或者使用计量单位不符合响应文件要求的；（经评审小组认定允许其在线更正的笔误除外）</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1.7磋商响应文件的关键内容字迹模糊、无法辨认的，或者磋商响应文件中经修正的内容字迹模糊难以辩认或者修改处未按规定签名盖章的；</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1.8投标有效期、交货时间、质保期等商务条款不能满足响应文件要求的；</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1.9未响应响应文件实质性要求或者磋商响应文件有采购人不能接受的附加条件的；</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1.10磋商响应文件没有按响应文件要求响应有标“★”的条款的资料和材料的；</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1.11在磋商响应文件商务技术部分中出现磋商报价信息的。</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2</w:t>
      </w:r>
      <w:r>
        <w:rPr>
          <w:rFonts w:hint="eastAsia" w:hAnsi="宋体"/>
          <w:b w:val="0"/>
          <w:bCs/>
          <w:color w:val="auto"/>
          <w:sz w:val="24"/>
          <w:szCs w:val="24"/>
          <w:highlight w:val="none"/>
          <w:lang w:val="en-US" w:eastAsia="zh-CN"/>
        </w:rPr>
        <w:t>.</w:t>
      </w:r>
      <w:r>
        <w:rPr>
          <w:rFonts w:hint="eastAsia" w:hAnsi="宋体"/>
          <w:b w:val="0"/>
          <w:bCs/>
          <w:color w:val="auto"/>
          <w:sz w:val="24"/>
          <w:szCs w:val="24"/>
          <w:highlight w:val="none"/>
        </w:rPr>
        <w:t>在技术评审时，如发现下列情形之一的，磋商响应文件将被视为无效响应：</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2.1磋商响应文件标明的响应或偏离与事实不符或虚假投标的；</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2.2明显不符合响应文件标明的质量标准，或者响应文件中标“★”的技术参数、条款（如有）发生实质性偏离的；</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3.3投标技术方案不明确，存在一个或一个以上备选（替代）投标方案的；</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3</w:t>
      </w:r>
      <w:r>
        <w:rPr>
          <w:rFonts w:hint="eastAsia" w:hAnsi="宋体"/>
          <w:b w:val="0"/>
          <w:bCs/>
          <w:color w:val="auto"/>
          <w:sz w:val="24"/>
          <w:szCs w:val="24"/>
          <w:highlight w:val="none"/>
          <w:lang w:val="en-US" w:eastAsia="zh-CN"/>
        </w:rPr>
        <w:t>.</w:t>
      </w:r>
      <w:r>
        <w:rPr>
          <w:rFonts w:hint="eastAsia" w:hAnsi="宋体"/>
          <w:b w:val="0"/>
          <w:bCs/>
          <w:color w:val="auto"/>
          <w:sz w:val="24"/>
          <w:szCs w:val="24"/>
          <w:highlight w:val="none"/>
        </w:rPr>
        <w:t>在磋商报价文件评审时，如发现下列情形之一的，磋商响应文件将被视为无效响应：</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3.1未采用人民币报价或者未按照响应文件标明的币种报价的；</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3.2报价超出最高限价，或者超出采购预算金额，采购人不能支付的；响应人的磋商报价经评标委员会审定认为存在不合理的、恶性的低价竞争的，且响应人又不能提供出有效证明的作无效标处理。</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3.3磋商报价具有选择性，或者开标价格与磋商响应文件承诺的优惠（折扣）价格不一致的；</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3.4磋商报价明细表总金额与开标一览表总价不一致。</w:t>
      </w:r>
    </w:p>
    <w:p>
      <w:pPr>
        <w:snapToGrid w:val="0"/>
        <w:spacing w:before="120" w:line="520" w:lineRule="exact"/>
        <w:outlineLvl w:val="1"/>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法律、法规和响应文件规定的其他无效情形。</w:t>
      </w:r>
    </w:p>
    <w:p>
      <w:pPr>
        <w:snapToGrid w:val="0"/>
        <w:spacing w:line="520" w:lineRule="exact"/>
        <w:ind w:firstLine="2985" w:firstLineChars="1239"/>
        <w:outlineLvl w:val="1"/>
        <w:rPr>
          <w:rFonts w:hAnsi="宋体"/>
          <w:b/>
          <w:color w:val="auto"/>
          <w:sz w:val="24"/>
          <w:szCs w:val="24"/>
          <w:highlight w:val="none"/>
        </w:rPr>
      </w:pPr>
      <w:r>
        <w:rPr>
          <w:rFonts w:hint="eastAsia" w:hAnsi="宋体"/>
          <w:b/>
          <w:color w:val="auto"/>
          <w:sz w:val="24"/>
          <w:szCs w:val="24"/>
          <w:highlight w:val="none"/>
        </w:rPr>
        <w:br w:type="page"/>
      </w:r>
    </w:p>
    <w:p>
      <w:pPr>
        <w:pStyle w:val="15"/>
        <w:snapToGrid w:val="0"/>
        <w:spacing w:line="520" w:lineRule="exact"/>
        <w:ind w:firstLine="300" w:firstLineChars="129"/>
        <w:jc w:val="center"/>
        <w:outlineLvl w:val="1"/>
        <w:rPr>
          <w:rFonts w:hAnsi="宋体"/>
          <w:b/>
          <w:snapToGrid w:val="0"/>
          <w:color w:val="auto"/>
          <w:sz w:val="24"/>
          <w:szCs w:val="24"/>
          <w:highlight w:val="none"/>
        </w:rPr>
      </w:pPr>
      <w:r>
        <w:rPr>
          <w:rFonts w:hint="eastAsia" w:hAnsi="宋体"/>
          <w:b/>
          <w:color w:val="auto"/>
          <w:sz w:val="24"/>
          <w:szCs w:val="24"/>
          <w:highlight w:val="none"/>
        </w:rPr>
        <w:t>四</w:t>
      </w:r>
      <w:r>
        <w:rPr>
          <w:rFonts w:hint="eastAsia" w:hAnsi="宋体"/>
          <w:b/>
          <w:color w:val="auto"/>
          <w:sz w:val="24"/>
          <w:szCs w:val="24"/>
          <w:highlight w:val="none"/>
          <w:lang w:val="en-US" w:eastAsia="zh-CN"/>
        </w:rPr>
        <w:t xml:space="preserve"> </w:t>
      </w:r>
      <w:r>
        <w:rPr>
          <w:rFonts w:hint="eastAsia" w:hAnsi="宋体"/>
          <w:b/>
          <w:color w:val="auto"/>
          <w:sz w:val="24"/>
          <w:szCs w:val="24"/>
          <w:highlight w:val="none"/>
        </w:rPr>
        <w:t>开标</w:t>
      </w:r>
    </w:p>
    <w:p>
      <w:pPr>
        <w:pStyle w:val="16"/>
        <w:snapToGrid w:val="0"/>
        <w:spacing w:before="120" w:line="520" w:lineRule="exact"/>
        <w:ind w:firstLine="482" w:firstLineChars="200"/>
        <w:rPr>
          <w:rFonts w:hAnsi="宋体"/>
          <w:b/>
          <w:color w:val="auto"/>
          <w:sz w:val="24"/>
          <w:szCs w:val="24"/>
          <w:highlight w:val="none"/>
        </w:rPr>
      </w:pPr>
      <w:r>
        <w:rPr>
          <w:rFonts w:hint="eastAsia" w:hAnsi="宋体"/>
          <w:b/>
          <w:color w:val="auto"/>
          <w:sz w:val="24"/>
          <w:szCs w:val="24"/>
          <w:highlight w:val="none"/>
        </w:rPr>
        <w:t>（一）</w:t>
      </w:r>
      <w:r>
        <w:rPr>
          <w:rFonts w:hint="eastAsia" w:hAnsi="宋体"/>
          <w:b/>
          <w:color w:val="auto"/>
          <w:sz w:val="24"/>
          <w:szCs w:val="24"/>
          <w:highlight w:val="none"/>
          <w:lang w:eastAsia="zh-CN"/>
        </w:rPr>
        <w:t>、</w:t>
      </w:r>
      <w:r>
        <w:rPr>
          <w:rFonts w:hint="eastAsia" w:hAnsi="宋体"/>
          <w:b/>
          <w:color w:val="auto"/>
          <w:sz w:val="24"/>
          <w:szCs w:val="24"/>
          <w:highlight w:val="none"/>
        </w:rPr>
        <w:t>开标准备</w:t>
      </w:r>
    </w:p>
    <w:p>
      <w:pPr>
        <w:pStyle w:val="16"/>
        <w:snapToGrid w:val="0"/>
        <w:spacing w:before="120" w:line="520" w:lineRule="exact"/>
        <w:rPr>
          <w:rFonts w:hint="eastAsia" w:hAnsi="宋体"/>
          <w:b/>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采购人将在规定的时间和地点进行开标。</w:t>
      </w:r>
    </w:p>
    <w:p>
      <w:pPr>
        <w:pStyle w:val="16"/>
        <w:snapToGrid w:val="0"/>
        <w:spacing w:before="120" w:line="520" w:lineRule="exact"/>
        <w:ind w:firstLine="482" w:firstLineChars="200"/>
        <w:rPr>
          <w:rFonts w:hAnsi="宋体"/>
          <w:b/>
          <w:color w:val="auto"/>
          <w:sz w:val="24"/>
          <w:szCs w:val="24"/>
          <w:highlight w:val="none"/>
        </w:rPr>
      </w:pPr>
      <w:r>
        <w:rPr>
          <w:rFonts w:hint="eastAsia" w:hAnsi="宋体"/>
          <w:b/>
          <w:color w:val="auto"/>
          <w:sz w:val="24"/>
          <w:szCs w:val="24"/>
          <w:highlight w:val="none"/>
        </w:rPr>
        <w:t>（二）</w:t>
      </w:r>
      <w:r>
        <w:rPr>
          <w:rFonts w:hint="eastAsia" w:hAnsi="宋体"/>
          <w:b/>
          <w:color w:val="auto"/>
          <w:sz w:val="24"/>
          <w:szCs w:val="24"/>
          <w:highlight w:val="none"/>
          <w:lang w:eastAsia="zh-CN"/>
        </w:rPr>
        <w:t>、</w:t>
      </w:r>
      <w:r>
        <w:rPr>
          <w:rFonts w:hint="eastAsia" w:hAnsi="宋体"/>
          <w:b/>
          <w:color w:val="auto"/>
          <w:sz w:val="24"/>
          <w:szCs w:val="24"/>
          <w:highlight w:val="none"/>
        </w:rPr>
        <w:t>开标程序：</w:t>
      </w:r>
    </w:p>
    <w:p>
      <w:pPr>
        <w:spacing w:line="360" w:lineRule="auto"/>
        <w:ind w:firstLine="480" w:firstLineChars="200"/>
        <w:jc w:val="left"/>
        <w:rPr>
          <w:rFonts w:hint="eastAsia" w:ascii="宋体" w:hAnsi="宋体" w:eastAsia="宋体" w:cs="Times New Roman"/>
          <w:b w:val="0"/>
          <w:bCs/>
          <w:color w:val="auto"/>
          <w:kern w:val="0"/>
          <w:sz w:val="24"/>
          <w:szCs w:val="24"/>
          <w:highlight w:val="none"/>
          <w:lang w:val="en-US" w:eastAsia="zh-CN" w:bidi="ar-SA"/>
        </w:rPr>
      </w:pPr>
      <w:r>
        <w:rPr>
          <w:rFonts w:hint="eastAsia" w:ascii="宋体" w:hAnsi="宋体" w:eastAsia="宋体" w:cs="Times New Roman"/>
          <w:b w:val="0"/>
          <w:bCs/>
          <w:color w:val="auto"/>
          <w:kern w:val="0"/>
          <w:sz w:val="24"/>
          <w:szCs w:val="24"/>
          <w:highlight w:val="none"/>
          <w:lang w:val="en-US" w:eastAsia="zh-CN" w:bidi="ar-SA"/>
        </w:rPr>
        <w:t>1</w:t>
      </w:r>
      <w:r>
        <w:rPr>
          <w:rFonts w:hint="eastAsia" w:ascii="宋体" w:hAnsi="宋体" w:cs="Times New Roman"/>
          <w:b w:val="0"/>
          <w:bCs/>
          <w:color w:val="auto"/>
          <w:kern w:val="0"/>
          <w:sz w:val="24"/>
          <w:szCs w:val="24"/>
          <w:highlight w:val="none"/>
          <w:lang w:val="en-US" w:eastAsia="zh-CN" w:bidi="ar-SA"/>
        </w:rPr>
        <w:t>.</w:t>
      </w:r>
      <w:r>
        <w:rPr>
          <w:rFonts w:hint="eastAsia" w:ascii="宋体" w:hAnsi="宋体" w:eastAsia="宋体" w:cs="Times New Roman"/>
          <w:b w:val="0"/>
          <w:bCs/>
          <w:color w:val="auto"/>
          <w:kern w:val="0"/>
          <w:sz w:val="24"/>
          <w:szCs w:val="24"/>
          <w:highlight w:val="none"/>
          <w:lang w:val="en-US" w:eastAsia="zh-CN" w:bidi="ar-SA"/>
        </w:rPr>
        <w:t>开标会由采购人相关工作人员主持，主持人宣布开标会议开始。</w:t>
      </w:r>
    </w:p>
    <w:p>
      <w:pPr>
        <w:spacing w:line="360" w:lineRule="auto"/>
        <w:ind w:firstLine="480" w:firstLineChars="200"/>
        <w:jc w:val="left"/>
        <w:rPr>
          <w:rFonts w:hint="eastAsia" w:ascii="宋体" w:hAnsi="宋体" w:eastAsia="宋体" w:cs="Times New Roman"/>
          <w:b w:val="0"/>
          <w:bCs/>
          <w:color w:val="auto"/>
          <w:kern w:val="0"/>
          <w:sz w:val="24"/>
          <w:szCs w:val="24"/>
          <w:highlight w:val="none"/>
          <w:lang w:val="en-US" w:eastAsia="zh-CN" w:bidi="ar-SA"/>
        </w:rPr>
      </w:pPr>
      <w:r>
        <w:rPr>
          <w:rFonts w:hint="eastAsia" w:ascii="宋体" w:hAnsi="宋体" w:eastAsia="宋体" w:cs="Times New Roman"/>
          <w:b w:val="0"/>
          <w:bCs/>
          <w:color w:val="auto"/>
          <w:kern w:val="0"/>
          <w:sz w:val="24"/>
          <w:szCs w:val="24"/>
          <w:highlight w:val="none"/>
          <w:lang w:val="en-US" w:eastAsia="zh-CN" w:bidi="ar-SA"/>
        </w:rPr>
        <w:t>2</w:t>
      </w:r>
      <w:r>
        <w:rPr>
          <w:rFonts w:hint="eastAsia" w:ascii="宋体" w:hAnsi="宋体" w:cs="Times New Roman"/>
          <w:b w:val="0"/>
          <w:bCs/>
          <w:color w:val="auto"/>
          <w:kern w:val="0"/>
          <w:sz w:val="24"/>
          <w:szCs w:val="24"/>
          <w:highlight w:val="none"/>
          <w:lang w:val="en-US" w:eastAsia="zh-CN" w:bidi="ar-SA"/>
        </w:rPr>
        <w:t>.</w:t>
      </w:r>
      <w:r>
        <w:rPr>
          <w:rFonts w:hint="eastAsia" w:ascii="宋体" w:hAnsi="宋体" w:eastAsia="宋体" w:cs="Times New Roman"/>
          <w:b w:val="0"/>
          <w:bCs/>
          <w:color w:val="auto"/>
          <w:kern w:val="0"/>
          <w:sz w:val="24"/>
          <w:szCs w:val="24"/>
          <w:highlight w:val="none"/>
          <w:lang w:val="en-US" w:eastAsia="zh-CN" w:bidi="ar-SA"/>
        </w:rPr>
        <w:t xml:space="preserve">介绍参加开标会的人员名单。 </w:t>
      </w:r>
    </w:p>
    <w:p>
      <w:pPr>
        <w:spacing w:line="360" w:lineRule="auto"/>
        <w:ind w:firstLine="480" w:firstLineChars="200"/>
        <w:jc w:val="left"/>
        <w:rPr>
          <w:rFonts w:hint="eastAsia" w:ascii="宋体" w:hAnsi="宋体" w:eastAsia="宋体" w:cs="Times New Roman"/>
          <w:b w:val="0"/>
          <w:bCs/>
          <w:color w:val="auto"/>
          <w:kern w:val="0"/>
          <w:sz w:val="24"/>
          <w:szCs w:val="24"/>
          <w:highlight w:val="none"/>
          <w:lang w:val="en-US" w:eastAsia="zh-CN" w:bidi="ar-SA"/>
        </w:rPr>
      </w:pPr>
      <w:r>
        <w:rPr>
          <w:rFonts w:hint="eastAsia" w:ascii="宋体" w:hAnsi="宋体" w:eastAsia="宋体" w:cs="Times New Roman"/>
          <w:b w:val="0"/>
          <w:bCs/>
          <w:color w:val="auto"/>
          <w:kern w:val="0"/>
          <w:sz w:val="24"/>
          <w:szCs w:val="24"/>
          <w:highlight w:val="none"/>
          <w:lang w:val="en-US" w:eastAsia="zh-CN" w:bidi="ar-SA"/>
        </w:rPr>
        <w:t>3</w:t>
      </w:r>
      <w:r>
        <w:rPr>
          <w:rFonts w:hint="eastAsia" w:ascii="宋体" w:hAnsi="宋体" w:cs="Times New Roman"/>
          <w:b w:val="0"/>
          <w:bCs/>
          <w:color w:val="auto"/>
          <w:kern w:val="0"/>
          <w:sz w:val="24"/>
          <w:szCs w:val="24"/>
          <w:highlight w:val="none"/>
          <w:lang w:val="en-US" w:eastAsia="zh-CN" w:bidi="ar-SA"/>
        </w:rPr>
        <w:t>.</w:t>
      </w:r>
      <w:r>
        <w:rPr>
          <w:rFonts w:hint="eastAsia" w:ascii="宋体" w:hAnsi="宋体" w:eastAsia="宋体" w:cs="Times New Roman"/>
          <w:b w:val="0"/>
          <w:bCs/>
          <w:color w:val="auto"/>
          <w:kern w:val="0"/>
          <w:sz w:val="24"/>
          <w:szCs w:val="24"/>
          <w:highlight w:val="none"/>
          <w:lang w:val="en-US" w:eastAsia="zh-CN" w:bidi="ar-SA"/>
        </w:rPr>
        <w:t>宣布开标纪律和有关事项，告知应当回避的情形，提请有关人员回避。</w:t>
      </w:r>
    </w:p>
    <w:p>
      <w:pPr>
        <w:spacing w:line="360" w:lineRule="auto"/>
        <w:ind w:firstLine="480" w:firstLineChars="200"/>
        <w:jc w:val="left"/>
        <w:rPr>
          <w:rFonts w:hint="eastAsia" w:ascii="宋体" w:hAnsi="宋体" w:eastAsia="宋体" w:cs="Times New Roman"/>
          <w:b w:val="0"/>
          <w:bCs/>
          <w:color w:val="auto"/>
          <w:kern w:val="0"/>
          <w:sz w:val="24"/>
          <w:szCs w:val="24"/>
          <w:highlight w:val="none"/>
          <w:lang w:val="en-US" w:eastAsia="zh-CN" w:bidi="ar-SA"/>
        </w:rPr>
      </w:pPr>
      <w:r>
        <w:rPr>
          <w:rFonts w:hint="eastAsia" w:ascii="宋体" w:hAnsi="宋体" w:eastAsia="宋体" w:cs="Times New Roman"/>
          <w:b w:val="0"/>
          <w:bCs/>
          <w:color w:val="auto"/>
          <w:kern w:val="0"/>
          <w:sz w:val="24"/>
          <w:szCs w:val="24"/>
          <w:highlight w:val="none"/>
          <w:lang w:val="en-US" w:eastAsia="zh-CN" w:bidi="ar-SA"/>
        </w:rPr>
        <w:t>4</w:t>
      </w:r>
      <w:r>
        <w:rPr>
          <w:rFonts w:hint="eastAsia" w:ascii="宋体" w:hAnsi="宋体" w:cs="Times New Roman"/>
          <w:b w:val="0"/>
          <w:bCs/>
          <w:color w:val="auto"/>
          <w:kern w:val="0"/>
          <w:sz w:val="24"/>
          <w:szCs w:val="24"/>
          <w:highlight w:val="none"/>
          <w:lang w:val="en-US" w:eastAsia="zh-CN" w:bidi="ar-SA"/>
        </w:rPr>
        <w:t>.</w:t>
      </w:r>
      <w:r>
        <w:rPr>
          <w:rFonts w:hint="eastAsia" w:ascii="宋体" w:hAnsi="宋体" w:eastAsia="宋体" w:cs="Times New Roman"/>
          <w:b w:val="0"/>
          <w:bCs/>
          <w:color w:val="auto"/>
          <w:kern w:val="0"/>
          <w:sz w:val="24"/>
          <w:szCs w:val="24"/>
          <w:highlight w:val="none"/>
          <w:lang w:val="en-US" w:eastAsia="zh-CN" w:bidi="ar-SA"/>
        </w:rPr>
        <w:t>监督人员查验磋商响应文件密封的完整性。</w:t>
      </w:r>
    </w:p>
    <w:p>
      <w:pPr>
        <w:spacing w:line="360" w:lineRule="auto"/>
        <w:ind w:firstLine="480" w:firstLineChars="200"/>
        <w:jc w:val="left"/>
        <w:rPr>
          <w:rFonts w:hint="eastAsia" w:ascii="宋体" w:hAnsi="宋体" w:eastAsia="宋体" w:cs="Times New Roman"/>
          <w:b w:val="0"/>
          <w:bCs/>
          <w:color w:val="auto"/>
          <w:kern w:val="0"/>
          <w:sz w:val="24"/>
          <w:szCs w:val="24"/>
          <w:highlight w:val="none"/>
          <w:lang w:val="en-US" w:eastAsia="zh-CN" w:bidi="ar-SA"/>
        </w:rPr>
      </w:pPr>
      <w:r>
        <w:rPr>
          <w:rFonts w:hint="eastAsia" w:ascii="宋体" w:hAnsi="宋体" w:eastAsia="宋体" w:cs="Times New Roman"/>
          <w:b w:val="0"/>
          <w:bCs/>
          <w:color w:val="auto"/>
          <w:kern w:val="0"/>
          <w:sz w:val="24"/>
          <w:szCs w:val="24"/>
          <w:highlight w:val="none"/>
          <w:lang w:val="en-US" w:eastAsia="zh-CN" w:bidi="ar-SA"/>
        </w:rPr>
        <w:t>5</w:t>
      </w:r>
      <w:r>
        <w:rPr>
          <w:rFonts w:hint="eastAsia" w:ascii="宋体" w:hAnsi="宋体" w:cs="Times New Roman"/>
          <w:b w:val="0"/>
          <w:bCs/>
          <w:color w:val="auto"/>
          <w:kern w:val="0"/>
          <w:sz w:val="24"/>
          <w:szCs w:val="24"/>
          <w:highlight w:val="none"/>
          <w:lang w:val="en-US" w:eastAsia="zh-CN" w:bidi="ar-SA"/>
        </w:rPr>
        <w:t>.</w:t>
      </w:r>
      <w:r>
        <w:rPr>
          <w:rFonts w:hint="eastAsia" w:ascii="宋体" w:hAnsi="宋体" w:eastAsia="宋体" w:cs="Times New Roman"/>
          <w:b w:val="0"/>
          <w:bCs/>
          <w:color w:val="auto"/>
          <w:kern w:val="0"/>
          <w:sz w:val="24"/>
          <w:szCs w:val="24"/>
          <w:highlight w:val="none"/>
          <w:lang w:val="en-US" w:eastAsia="zh-CN" w:bidi="ar-SA"/>
        </w:rPr>
        <w:t>在监督人员的监督下打开磋商响应文件密封袋，清点磋商报价文件、磋商响应文件正本、副本数量，磋商响应文件有无正、副本标记等，符合响应文件要求的送评标室评审；不符合要求的（磋商响应文件组成不全、磋商响应文件未标明正副本等），当场作为无效标处理。</w:t>
      </w:r>
    </w:p>
    <w:p>
      <w:pPr>
        <w:spacing w:line="360" w:lineRule="auto"/>
        <w:ind w:firstLine="480" w:firstLineChars="200"/>
        <w:jc w:val="left"/>
        <w:rPr>
          <w:rFonts w:hint="eastAsia" w:ascii="宋体" w:hAnsi="宋体" w:eastAsia="宋体" w:cs="Times New Roman"/>
          <w:b w:val="0"/>
          <w:bCs/>
          <w:color w:val="auto"/>
          <w:kern w:val="0"/>
          <w:sz w:val="24"/>
          <w:szCs w:val="24"/>
          <w:highlight w:val="none"/>
          <w:lang w:val="en-US" w:eastAsia="zh-CN" w:bidi="ar-SA"/>
        </w:rPr>
      </w:pPr>
      <w:r>
        <w:rPr>
          <w:rFonts w:hint="eastAsia" w:ascii="宋体" w:hAnsi="宋体" w:eastAsia="宋体" w:cs="Times New Roman"/>
          <w:b w:val="0"/>
          <w:bCs/>
          <w:color w:val="auto"/>
          <w:kern w:val="0"/>
          <w:sz w:val="24"/>
          <w:szCs w:val="24"/>
          <w:highlight w:val="none"/>
          <w:lang w:val="en-US" w:eastAsia="zh-CN" w:bidi="ar-SA"/>
        </w:rPr>
        <w:t>6</w:t>
      </w:r>
      <w:r>
        <w:rPr>
          <w:rFonts w:hint="eastAsia" w:ascii="宋体" w:hAnsi="宋体" w:cs="Times New Roman"/>
          <w:b w:val="0"/>
          <w:bCs/>
          <w:color w:val="auto"/>
          <w:kern w:val="0"/>
          <w:sz w:val="24"/>
          <w:szCs w:val="24"/>
          <w:highlight w:val="none"/>
          <w:lang w:val="en-US" w:eastAsia="zh-CN" w:bidi="ar-SA"/>
        </w:rPr>
        <w:t>.</w:t>
      </w:r>
      <w:r>
        <w:rPr>
          <w:rFonts w:hint="eastAsia" w:ascii="宋体" w:hAnsi="宋体" w:eastAsia="宋体" w:cs="Times New Roman"/>
          <w:b w:val="0"/>
          <w:bCs/>
          <w:color w:val="auto"/>
          <w:kern w:val="0"/>
          <w:sz w:val="24"/>
          <w:szCs w:val="24"/>
          <w:highlight w:val="none"/>
          <w:lang w:val="en-US" w:eastAsia="zh-CN" w:bidi="ar-SA"/>
        </w:rPr>
        <w:t xml:space="preserve">各响应人的资格由采购人员负责初审，对审查不通过的，提请评审小组进行终审，如评审小组确认为“无效响应”的，应当按规定告知或询问响应人，并允许其陈述说明。 </w:t>
      </w:r>
    </w:p>
    <w:p>
      <w:pPr>
        <w:spacing w:line="360" w:lineRule="auto"/>
        <w:ind w:firstLine="480" w:firstLineChars="200"/>
        <w:jc w:val="left"/>
        <w:rPr>
          <w:rFonts w:hint="eastAsia" w:ascii="宋体" w:hAnsi="宋体" w:eastAsia="宋体" w:cs="Times New Roman"/>
          <w:b w:val="0"/>
          <w:bCs/>
          <w:color w:val="auto"/>
          <w:kern w:val="0"/>
          <w:sz w:val="24"/>
          <w:szCs w:val="24"/>
          <w:highlight w:val="none"/>
          <w:lang w:val="en-US" w:eastAsia="zh-CN" w:bidi="ar-SA"/>
        </w:rPr>
      </w:pPr>
      <w:r>
        <w:rPr>
          <w:rFonts w:hint="eastAsia" w:ascii="宋体" w:hAnsi="宋体" w:eastAsia="宋体" w:cs="Times New Roman"/>
          <w:b w:val="0"/>
          <w:bCs/>
          <w:color w:val="auto"/>
          <w:kern w:val="0"/>
          <w:sz w:val="24"/>
          <w:szCs w:val="24"/>
          <w:highlight w:val="none"/>
          <w:lang w:val="en-US" w:eastAsia="zh-CN" w:bidi="ar-SA"/>
        </w:rPr>
        <w:t>7</w:t>
      </w:r>
      <w:r>
        <w:rPr>
          <w:rFonts w:hint="eastAsia" w:ascii="宋体" w:hAnsi="宋体" w:cs="Times New Roman"/>
          <w:b w:val="0"/>
          <w:bCs/>
          <w:color w:val="auto"/>
          <w:kern w:val="0"/>
          <w:sz w:val="24"/>
          <w:szCs w:val="24"/>
          <w:highlight w:val="none"/>
          <w:lang w:val="en-US" w:eastAsia="zh-CN" w:bidi="ar-SA"/>
        </w:rPr>
        <w:t>.</w:t>
      </w:r>
      <w:r>
        <w:rPr>
          <w:rFonts w:hint="eastAsia" w:ascii="宋体" w:hAnsi="宋体" w:eastAsia="宋体" w:cs="Times New Roman"/>
          <w:b w:val="0"/>
          <w:bCs/>
          <w:color w:val="auto"/>
          <w:kern w:val="0"/>
          <w:sz w:val="24"/>
          <w:szCs w:val="24"/>
          <w:highlight w:val="none"/>
          <w:lang w:val="en-US" w:eastAsia="zh-CN" w:bidi="ar-SA"/>
        </w:rPr>
        <w:t xml:space="preserve">商务技术评审结束后，由主持人公布无效投标的响应人名单、投标无效的原因及其他有效响应人的商务技术评分结果。 </w:t>
      </w:r>
    </w:p>
    <w:p>
      <w:pPr>
        <w:spacing w:line="360" w:lineRule="auto"/>
        <w:ind w:firstLine="480" w:firstLineChars="200"/>
        <w:jc w:val="left"/>
        <w:rPr>
          <w:rFonts w:hint="eastAsia" w:ascii="宋体" w:hAnsi="宋体" w:eastAsia="宋体" w:cs="Times New Roman"/>
          <w:b w:val="0"/>
          <w:bCs/>
          <w:color w:val="auto"/>
          <w:kern w:val="0"/>
          <w:sz w:val="24"/>
          <w:szCs w:val="24"/>
          <w:highlight w:val="none"/>
          <w:lang w:val="en-US" w:eastAsia="zh-CN" w:bidi="ar-SA"/>
        </w:rPr>
      </w:pPr>
      <w:r>
        <w:rPr>
          <w:rFonts w:hint="eastAsia" w:ascii="宋体" w:hAnsi="宋体" w:eastAsia="宋体" w:cs="Times New Roman"/>
          <w:b w:val="0"/>
          <w:bCs/>
          <w:color w:val="auto"/>
          <w:kern w:val="0"/>
          <w:sz w:val="24"/>
          <w:szCs w:val="24"/>
          <w:highlight w:val="none"/>
          <w:lang w:val="en-US" w:eastAsia="zh-CN" w:bidi="ar-SA"/>
        </w:rPr>
        <w:t>8</w:t>
      </w:r>
      <w:r>
        <w:rPr>
          <w:rFonts w:hint="eastAsia" w:ascii="宋体" w:hAnsi="宋体" w:cs="Times New Roman"/>
          <w:b w:val="0"/>
          <w:bCs/>
          <w:color w:val="auto"/>
          <w:kern w:val="0"/>
          <w:sz w:val="24"/>
          <w:szCs w:val="24"/>
          <w:highlight w:val="none"/>
          <w:lang w:val="en-US" w:eastAsia="zh-CN" w:bidi="ar-SA"/>
        </w:rPr>
        <w:t>.</w:t>
      </w:r>
      <w:r>
        <w:rPr>
          <w:rFonts w:hint="eastAsia" w:ascii="宋体" w:hAnsi="宋体" w:eastAsia="宋体" w:cs="Times New Roman"/>
          <w:b w:val="0"/>
          <w:bCs/>
          <w:color w:val="auto"/>
          <w:kern w:val="0"/>
          <w:sz w:val="24"/>
          <w:szCs w:val="24"/>
          <w:highlight w:val="none"/>
          <w:lang w:val="en-US" w:eastAsia="zh-CN" w:bidi="ar-SA"/>
        </w:rPr>
        <w:t xml:space="preserve">响应人商务技术得分宣读完毕后，宣读《开标报价一览表》中的响应人名称、磋商报价、投标内容和最后一次磋商报价内容，以及采购代理机构认为有必要宣读的其他内容。 </w:t>
      </w:r>
    </w:p>
    <w:p>
      <w:pPr>
        <w:spacing w:line="360" w:lineRule="auto"/>
        <w:ind w:firstLine="480" w:firstLineChars="200"/>
        <w:jc w:val="left"/>
        <w:rPr>
          <w:rFonts w:hint="eastAsia" w:ascii="宋体" w:hAnsi="宋体" w:eastAsia="宋体" w:cs="Times New Roman"/>
          <w:b w:val="0"/>
          <w:bCs/>
          <w:color w:val="auto"/>
          <w:kern w:val="0"/>
          <w:sz w:val="24"/>
          <w:szCs w:val="24"/>
          <w:highlight w:val="none"/>
          <w:lang w:val="en-US" w:eastAsia="zh-CN" w:bidi="ar-SA"/>
        </w:rPr>
      </w:pPr>
      <w:r>
        <w:rPr>
          <w:rFonts w:hint="eastAsia" w:ascii="宋体" w:hAnsi="宋体" w:eastAsia="宋体" w:cs="Times New Roman"/>
          <w:b w:val="0"/>
          <w:bCs/>
          <w:color w:val="auto"/>
          <w:kern w:val="0"/>
          <w:sz w:val="24"/>
          <w:szCs w:val="24"/>
          <w:highlight w:val="none"/>
          <w:lang w:val="en-US" w:eastAsia="zh-CN" w:bidi="ar-SA"/>
        </w:rPr>
        <w:t>9</w:t>
      </w:r>
      <w:r>
        <w:rPr>
          <w:rFonts w:hint="eastAsia" w:ascii="宋体" w:hAnsi="宋体" w:cs="Times New Roman"/>
          <w:b w:val="0"/>
          <w:bCs/>
          <w:color w:val="auto"/>
          <w:kern w:val="0"/>
          <w:sz w:val="24"/>
          <w:szCs w:val="24"/>
          <w:highlight w:val="none"/>
          <w:lang w:val="en-US" w:eastAsia="zh-CN" w:bidi="ar-SA"/>
        </w:rPr>
        <w:t>.</w:t>
      </w:r>
      <w:r>
        <w:rPr>
          <w:rFonts w:hint="eastAsia" w:ascii="宋体" w:hAnsi="宋体" w:eastAsia="宋体" w:cs="Times New Roman"/>
          <w:b w:val="0"/>
          <w:bCs/>
          <w:color w:val="auto"/>
          <w:kern w:val="0"/>
          <w:sz w:val="24"/>
          <w:szCs w:val="24"/>
          <w:highlight w:val="none"/>
          <w:lang w:val="en-US" w:eastAsia="zh-CN" w:bidi="ar-SA"/>
        </w:rPr>
        <w:t xml:space="preserve">做好开标记录，并由唱标人、记录人、监督人共同签字确认。 </w:t>
      </w:r>
    </w:p>
    <w:p>
      <w:pPr>
        <w:spacing w:line="360" w:lineRule="auto"/>
        <w:ind w:firstLine="480" w:firstLineChars="200"/>
        <w:jc w:val="left"/>
        <w:rPr>
          <w:rFonts w:hint="eastAsia" w:ascii="宋体" w:hAnsi="宋体" w:eastAsia="宋体" w:cs="Times New Roman"/>
          <w:b w:val="0"/>
          <w:bCs/>
          <w:color w:val="auto"/>
          <w:kern w:val="0"/>
          <w:sz w:val="24"/>
          <w:szCs w:val="24"/>
          <w:highlight w:val="none"/>
          <w:lang w:val="en-US" w:eastAsia="zh-CN" w:bidi="ar-SA"/>
        </w:rPr>
      </w:pPr>
      <w:r>
        <w:rPr>
          <w:rFonts w:hint="eastAsia" w:ascii="宋体" w:hAnsi="宋体" w:eastAsia="宋体" w:cs="Times New Roman"/>
          <w:b w:val="0"/>
          <w:bCs/>
          <w:color w:val="auto"/>
          <w:kern w:val="0"/>
          <w:sz w:val="24"/>
          <w:szCs w:val="24"/>
          <w:highlight w:val="none"/>
          <w:lang w:val="en-US" w:eastAsia="zh-CN" w:bidi="ar-SA"/>
        </w:rPr>
        <w:t>10</w:t>
      </w:r>
      <w:r>
        <w:rPr>
          <w:rFonts w:hint="eastAsia" w:ascii="宋体" w:hAnsi="宋体" w:cs="Times New Roman"/>
          <w:b w:val="0"/>
          <w:bCs/>
          <w:color w:val="auto"/>
          <w:kern w:val="0"/>
          <w:sz w:val="24"/>
          <w:szCs w:val="24"/>
          <w:highlight w:val="none"/>
          <w:lang w:val="en-US" w:eastAsia="zh-CN" w:bidi="ar-SA"/>
        </w:rPr>
        <w:t>.</w:t>
      </w:r>
      <w:r>
        <w:rPr>
          <w:rFonts w:hint="eastAsia" w:ascii="宋体" w:hAnsi="宋体" w:eastAsia="宋体" w:cs="Times New Roman"/>
          <w:b w:val="0"/>
          <w:bCs/>
          <w:color w:val="auto"/>
          <w:kern w:val="0"/>
          <w:sz w:val="24"/>
          <w:szCs w:val="24"/>
          <w:highlight w:val="none"/>
          <w:lang w:val="en-US" w:eastAsia="zh-CN" w:bidi="ar-SA"/>
        </w:rPr>
        <w:t>汇总各个响应人商务技术、报价得分，并按总分由高到低顺序排列。</w:t>
      </w:r>
    </w:p>
    <w:p>
      <w:pPr>
        <w:snapToGrid w:val="0"/>
        <w:spacing w:before="120" w:line="520" w:lineRule="exact"/>
        <w:jc w:val="center"/>
        <w:outlineLvl w:val="1"/>
        <w:rPr>
          <w:rFonts w:hAnsi="宋体"/>
          <w:b/>
          <w:color w:val="auto"/>
          <w:sz w:val="24"/>
          <w:szCs w:val="24"/>
          <w:highlight w:val="none"/>
        </w:rPr>
      </w:pPr>
      <w:r>
        <w:rPr>
          <w:rFonts w:hint="eastAsia" w:hAnsi="宋体"/>
          <w:b/>
          <w:color w:val="auto"/>
          <w:sz w:val="24"/>
          <w:szCs w:val="24"/>
          <w:highlight w:val="none"/>
        </w:rPr>
        <w:br w:type="page"/>
      </w:r>
    </w:p>
    <w:p>
      <w:pPr>
        <w:pStyle w:val="16"/>
        <w:snapToGrid w:val="0"/>
        <w:spacing w:before="120" w:line="520" w:lineRule="exact"/>
        <w:jc w:val="center"/>
        <w:outlineLvl w:val="1"/>
        <w:rPr>
          <w:rFonts w:hAnsi="宋体"/>
          <w:b/>
          <w:color w:val="auto"/>
          <w:sz w:val="24"/>
          <w:szCs w:val="24"/>
          <w:highlight w:val="none"/>
        </w:rPr>
      </w:pPr>
      <w:r>
        <w:rPr>
          <w:rFonts w:hint="eastAsia" w:hAnsi="宋体"/>
          <w:b/>
          <w:color w:val="auto"/>
          <w:sz w:val="24"/>
          <w:szCs w:val="24"/>
          <w:highlight w:val="none"/>
        </w:rPr>
        <w:t>五</w:t>
      </w:r>
      <w:r>
        <w:rPr>
          <w:rFonts w:hint="eastAsia" w:hAnsi="宋体"/>
          <w:b/>
          <w:color w:val="auto"/>
          <w:sz w:val="24"/>
          <w:szCs w:val="24"/>
          <w:highlight w:val="none"/>
          <w:lang w:val="en-US" w:eastAsia="zh-CN"/>
        </w:rPr>
        <w:t xml:space="preserve"> </w:t>
      </w:r>
      <w:r>
        <w:rPr>
          <w:rFonts w:hint="eastAsia" w:hAnsi="宋体"/>
          <w:b/>
          <w:color w:val="auto"/>
          <w:sz w:val="24"/>
          <w:szCs w:val="24"/>
          <w:highlight w:val="none"/>
        </w:rPr>
        <w:t>评标</w:t>
      </w:r>
    </w:p>
    <w:p>
      <w:pPr>
        <w:pStyle w:val="16"/>
        <w:snapToGrid w:val="0"/>
        <w:spacing w:before="120" w:line="520" w:lineRule="exact"/>
        <w:ind w:firstLine="482" w:firstLineChars="200"/>
        <w:rPr>
          <w:rFonts w:hAnsi="宋体"/>
          <w:b/>
          <w:color w:val="auto"/>
          <w:sz w:val="24"/>
          <w:szCs w:val="24"/>
          <w:highlight w:val="none"/>
        </w:rPr>
      </w:pPr>
      <w:r>
        <w:rPr>
          <w:rFonts w:hint="eastAsia" w:hAnsi="宋体"/>
          <w:b/>
          <w:color w:val="auto"/>
          <w:sz w:val="24"/>
          <w:szCs w:val="24"/>
          <w:highlight w:val="none"/>
        </w:rPr>
        <w:t>（一）</w:t>
      </w:r>
      <w:r>
        <w:rPr>
          <w:rFonts w:hint="eastAsia" w:hAnsi="宋体"/>
          <w:b/>
          <w:color w:val="auto"/>
          <w:sz w:val="24"/>
          <w:szCs w:val="24"/>
          <w:highlight w:val="none"/>
          <w:lang w:eastAsia="zh-CN"/>
        </w:rPr>
        <w:t>、</w:t>
      </w:r>
      <w:r>
        <w:rPr>
          <w:rFonts w:hint="eastAsia" w:hAnsi="宋体"/>
          <w:b/>
          <w:color w:val="auto"/>
          <w:sz w:val="24"/>
          <w:szCs w:val="24"/>
          <w:highlight w:val="none"/>
        </w:rPr>
        <w:t>组建</w:t>
      </w:r>
      <w:r>
        <w:rPr>
          <w:rFonts w:hint="eastAsia" w:hAnsi="宋体"/>
          <w:b/>
          <w:color w:val="auto"/>
          <w:sz w:val="24"/>
          <w:szCs w:val="24"/>
          <w:highlight w:val="none"/>
          <w:lang w:val="en-US" w:eastAsia="zh-CN"/>
        </w:rPr>
        <w:t>评审小组</w:t>
      </w:r>
    </w:p>
    <w:p>
      <w:pPr>
        <w:pStyle w:val="16"/>
        <w:snapToGrid w:val="0"/>
        <w:spacing w:before="120" w:line="520" w:lineRule="exact"/>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本项目磋商小组由采购人评审专家共</w:t>
      </w:r>
      <w:r>
        <w:rPr>
          <w:rFonts w:hint="eastAsia" w:hAnsi="宋体"/>
          <w:b w:val="0"/>
          <w:bCs/>
          <w:color w:val="auto"/>
          <w:sz w:val="24"/>
          <w:szCs w:val="24"/>
          <w:highlight w:val="none"/>
          <w:lang w:val="en-US" w:eastAsia="zh-CN"/>
        </w:rPr>
        <w:t>3</w:t>
      </w:r>
      <w:r>
        <w:rPr>
          <w:rFonts w:hint="eastAsia" w:hAnsi="宋体"/>
          <w:b w:val="0"/>
          <w:bCs/>
          <w:color w:val="auto"/>
          <w:sz w:val="24"/>
          <w:szCs w:val="24"/>
          <w:highlight w:val="none"/>
        </w:rPr>
        <w:t>人及以上单数组成。</w:t>
      </w:r>
    </w:p>
    <w:p>
      <w:pPr>
        <w:pStyle w:val="16"/>
        <w:snapToGrid w:val="0"/>
        <w:spacing w:before="120" w:line="520" w:lineRule="exact"/>
        <w:ind w:firstLine="482" w:firstLineChars="200"/>
        <w:rPr>
          <w:rFonts w:hint="eastAsia" w:hAnsi="宋体"/>
          <w:b/>
          <w:bCs w:val="0"/>
          <w:color w:val="auto"/>
          <w:sz w:val="24"/>
          <w:szCs w:val="24"/>
          <w:highlight w:val="none"/>
        </w:rPr>
      </w:pPr>
      <w:r>
        <w:rPr>
          <w:rFonts w:hint="eastAsia" w:hAnsi="宋体"/>
          <w:b/>
          <w:bCs w:val="0"/>
          <w:color w:val="auto"/>
          <w:sz w:val="24"/>
          <w:szCs w:val="24"/>
          <w:highlight w:val="none"/>
        </w:rPr>
        <w:t>（二）</w:t>
      </w:r>
      <w:r>
        <w:rPr>
          <w:rFonts w:hint="eastAsia" w:hAnsi="宋体"/>
          <w:b/>
          <w:bCs w:val="0"/>
          <w:color w:val="auto"/>
          <w:sz w:val="24"/>
          <w:szCs w:val="24"/>
          <w:highlight w:val="none"/>
          <w:lang w:eastAsia="zh-CN"/>
        </w:rPr>
        <w:t>、</w:t>
      </w:r>
      <w:r>
        <w:rPr>
          <w:rFonts w:hint="eastAsia" w:hAnsi="宋体"/>
          <w:b/>
          <w:bCs w:val="0"/>
          <w:color w:val="auto"/>
          <w:sz w:val="24"/>
          <w:szCs w:val="24"/>
          <w:highlight w:val="none"/>
        </w:rPr>
        <w:t>评标程序</w:t>
      </w:r>
    </w:p>
    <w:p>
      <w:pPr>
        <w:pStyle w:val="16"/>
        <w:snapToGrid w:val="0"/>
        <w:spacing w:before="120" w:line="520" w:lineRule="exact"/>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1</w:t>
      </w:r>
      <w:r>
        <w:rPr>
          <w:rFonts w:hint="eastAsia" w:hAnsi="宋体"/>
          <w:b w:val="0"/>
          <w:bCs/>
          <w:color w:val="auto"/>
          <w:sz w:val="24"/>
          <w:szCs w:val="24"/>
          <w:highlight w:val="none"/>
          <w:lang w:val="en-US" w:eastAsia="zh-CN"/>
        </w:rPr>
        <w:t>.</w:t>
      </w:r>
      <w:r>
        <w:rPr>
          <w:rFonts w:hint="eastAsia" w:hAnsi="宋体"/>
          <w:b w:val="0"/>
          <w:bCs/>
          <w:color w:val="auto"/>
          <w:sz w:val="24"/>
          <w:szCs w:val="24"/>
          <w:highlight w:val="none"/>
        </w:rPr>
        <w:t>资格审查</w:t>
      </w:r>
    </w:p>
    <w:p>
      <w:pPr>
        <w:pStyle w:val="16"/>
        <w:snapToGrid w:val="0"/>
        <w:spacing w:before="120" w:line="520" w:lineRule="exact"/>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采购人对响应人的资格进行审查。</w:t>
      </w:r>
    </w:p>
    <w:p>
      <w:pPr>
        <w:pStyle w:val="16"/>
        <w:snapToGrid w:val="0"/>
        <w:spacing w:before="120" w:line="520" w:lineRule="exact"/>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2</w:t>
      </w:r>
      <w:r>
        <w:rPr>
          <w:rFonts w:hint="eastAsia" w:hAnsi="宋体"/>
          <w:b w:val="0"/>
          <w:bCs/>
          <w:color w:val="auto"/>
          <w:sz w:val="24"/>
          <w:szCs w:val="24"/>
          <w:highlight w:val="none"/>
          <w:lang w:val="en-US" w:eastAsia="zh-CN"/>
        </w:rPr>
        <w:t>.</w:t>
      </w:r>
      <w:r>
        <w:rPr>
          <w:rFonts w:hint="eastAsia" w:hAnsi="宋体"/>
          <w:b w:val="0"/>
          <w:bCs/>
          <w:color w:val="auto"/>
          <w:sz w:val="24"/>
          <w:szCs w:val="24"/>
          <w:highlight w:val="none"/>
        </w:rPr>
        <w:t>磋商顺序</w:t>
      </w:r>
    </w:p>
    <w:p>
      <w:pPr>
        <w:pStyle w:val="16"/>
        <w:snapToGrid w:val="0"/>
        <w:spacing w:before="120" w:line="520" w:lineRule="exact"/>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对通过资格审查的合格响应人按提交响应文件时间的先后顺序磋商。</w:t>
      </w:r>
    </w:p>
    <w:p>
      <w:pPr>
        <w:pStyle w:val="16"/>
        <w:snapToGrid w:val="0"/>
        <w:spacing w:before="120" w:line="520" w:lineRule="exact"/>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3</w:t>
      </w:r>
      <w:r>
        <w:rPr>
          <w:rFonts w:hint="eastAsia" w:hAnsi="宋体"/>
          <w:b w:val="0"/>
          <w:bCs/>
          <w:color w:val="auto"/>
          <w:sz w:val="24"/>
          <w:szCs w:val="24"/>
          <w:highlight w:val="none"/>
          <w:lang w:val="en-US" w:eastAsia="zh-CN"/>
        </w:rPr>
        <w:t>.</w:t>
      </w:r>
      <w:r>
        <w:rPr>
          <w:rFonts w:hint="eastAsia" w:hAnsi="宋体"/>
          <w:b w:val="0"/>
          <w:bCs/>
          <w:color w:val="auto"/>
          <w:sz w:val="24"/>
          <w:szCs w:val="24"/>
          <w:highlight w:val="none"/>
        </w:rPr>
        <w:t>磋商内容及过程</w:t>
      </w:r>
    </w:p>
    <w:p>
      <w:pPr>
        <w:pStyle w:val="16"/>
        <w:snapToGrid w:val="0"/>
        <w:spacing w:before="120" w:line="520" w:lineRule="exact"/>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磋商小组所有成员集中与单一响应人分别就价格、服务、技术等认为需要磋商的内容进行磋商（电话联系方式），并给予所有参加磋商的响应人平等的磋商机会。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响应人应当按照磋商文件的变动情况和磋商小组的要求重新提交响应文件，并由其法定代表人或授权代表签字或者加盖公章。由授权代表签字的，应当附法定代表人/负责人授权书。磋商过程中再提供1-2次报价。（再次报价时间为30分钟，超过规定时间没有报价的，则按上一轮报价作为最终报价)。</w:t>
      </w:r>
    </w:p>
    <w:p>
      <w:pPr>
        <w:pStyle w:val="16"/>
        <w:snapToGrid w:val="0"/>
        <w:spacing w:before="120" w:line="520" w:lineRule="exact"/>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4.</w:t>
      </w:r>
      <w:r>
        <w:rPr>
          <w:rFonts w:hint="eastAsia" w:hAnsi="宋体"/>
          <w:b w:val="0"/>
          <w:bCs/>
          <w:color w:val="auto"/>
          <w:sz w:val="24"/>
          <w:szCs w:val="24"/>
          <w:highlight w:val="none"/>
        </w:rPr>
        <w:t>磋商结束后，在磋商小组进行商务技术评分时，磋商小组应当要求所有实质性响应的响应人在规定时间内提交最后报价。磋商小组认为响应人的磋商报价或者某些分项报价明显不合理或者低于成本，有可能影响服务质量和不能诚信履约的，应当要求其在规定的期限内提供电子文件予以解释说明，并提交相关证明材料；响应人未能提供证明材料，或磋商小组根据响应人提交的资料，认为其报价明显不合理或者低于成本并有可能影响服务质量和不能诚信履约的，可以判以无效响应。</w:t>
      </w:r>
    </w:p>
    <w:p>
      <w:pPr>
        <w:pStyle w:val="16"/>
        <w:snapToGrid w:val="0"/>
        <w:spacing w:before="120" w:line="520" w:lineRule="exact"/>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5</w:t>
      </w:r>
      <w:r>
        <w:rPr>
          <w:rFonts w:hint="eastAsia" w:hAnsi="宋体"/>
          <w:b w:val="0"/>
          <w:bCs/>
          <w:color w:val="auto"/>
          <w:sz w:val="24"/>
          <w:szCs w:val="24"/>
          <w:highlight w:val="none"/>
          <w:lang w:val="en-US" w:eastAsia="zh-CN"/>
        </w:rPr>
        <w:t>.</w:t>
      </w:r>
      <w:r>
        <w:rPr>
          <w:rFonts w:hint="eastAsia" w:hAnsi="宋体"/>
          <w:b w:val="0"/>
          <w:bCs/>
          <w:color w:val="auto"/>
          <w:sz w:val="24"/>
          <w:szCs w:val="24"/>
          <w:highlight w:val="none"/>
        </w:rPr>
        <w:t>所有响应供应商的最终报价符合磋商文件要求不足3家的，磋商活动终止；终止后，采购人调整项目需求后重新组织采购。</w:t>
      </w:r>
    </w:p>
    <w:p>
      <w:pPr>
        <w:pStyle w:val="16"/>
        <w:snapToGrid w:val="0"/>
        <w:spacing w:before="120" w:line="520" w:lineRule="exact"/>
        <w:ind w:firstLine="482" w:firstLineChars="200"/>
        <w:rPr>
          <w:rFonts w:hint="eastAsia" w:hAnsi="宋体"/>
          <w:b/>
          <w:bCs w:val="0"/>
          <w:color w:val="auto"/>
          <w:sz w:val="24"/>
          <w:szCs w:val="24"/>
          <w:highlight w:val="none"/>
        </w:rPr>
      </w:pPr>
      <w:r>
        <w:rPr>
          <w:rFonts w:hint="eastAsia" w:hAnsi="宋体"/>
          <w:b/>
          <w:bCs w:val="0"/>
          <w:color w:val="auto"/>
          <w:sz w:val="24"/>
          <w:szCs w:val="24"/>
          <w:highlight w:val="none"/>
        </w:rPr>
        <w:t>（三）</w:t>
      </w:r>
      <w:r>
        <w:rPr>
          <w:rFonts w:hint="eastAsia" w:hAnsi="宋体"/>
          <w:b/>
          <w:bCs w:val="0"/>
          <w:color w:val="auto"/>
          <w:sz w:val="24"/>
          <w:szCs w:val="24"/>
          <w:highlight w:val="none"/>
          <w:lang w:eastAsia="zh-CN"/>
        </w:rPr>
        <w:t>、</w:t>
      </w:r>
      <w:r>
        <w:rPr>
          <w:rFonts w:hint="eastAsia" w:hAnsi="宋体"/>
          <w:b/>
          <w:bCs w:val="0"/>
          <w:color w:val="auto"/>
          <w:sz w:val="24"/>
          <w:szCs w:val="24"/>
          <w:highlight w:val="none"/>
        </w:rPr>
        <w:t>澄清问题的形式</w:t>
      </w:r>
    </w:p>
    <w:p>
      <w:pPr>
        <w:pStyle w:val="16"/>
        <w:snapToGrid w:val="0"/>
        <w:spacing w:before="120" w:line="520" w:lineRule="exact"/>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对磋商响应文件中含义不明确、同类问题表述不一致或者有明显文字和计算错误的内容，评审小组可要求响应人作出必要的澄清、说明或者纠正。响应人的澄清、说明或者补正应当采用书面形式，由其全权代表签字或盖章确认，并不得超出磋商响应文件的范围或者改变磋商响应文件的实质性内容。</w:t>
      </w:r>
    </w:p>
    <w:p>
      <w:pPr>
        <w:pStyle w:val="16"/>
        <w:snapToGrid w:val="0"/>
        <w:spacing w:before="120" w:line="520" w:lineRule="exact"/>
        <w:ind w:firstLine="482" w:firstLineChars="200"/>
        <w:rPr>
          <w:rFonts w:hint="eastAsia" w:hAnsi="宋体"/>
          <w:b w:val="0"/>
          <w:bCs/>
          <w:color w:val="auto"/>
          <w:sz w:val="24"/>
          <w:szCs w:val="24"/>
          <w:highlight w:val="none"/>
        </w:rPr>
      </w:pPr>
      <w:r>
        <w:rPr>
          <w:rFonts w:hint="eastAsia" w:hAnsi="宋体"/>
          <w:b/>
          <w:bCs w:val="0"/>
          <w:color w:val="auto"/>
          <w:sz w:val="24"/>
          <w:szCs w:val="24"/>
          <w:highlight w:val="none"/>
        </w:rPr>
        <w:t>（四）</w:t>
      </w:r>
      <w:r>
        <w:rPr>
          <w:rFonts w:hint="eastAsia" w:hAnsi="宋体"/>
          <w:b/>
          <w:bCs w:val="0"/>
          <w:color w:val="auto"/>
          <w:sz w:val="24"/>
          <w:szCs w:val="24"/>
          <w:highlight w:val="none"/>
          <w:lang w:eastAsia="zh-CN"/>
        </w:rPr>
        <w:t>、</w:t>
      </w:r>
      <w:r>
        <w:rPr>
          <w:rFonts w:hint="eastAsia" w:hAnsi="宋体"/>
          <w:b/>
          <w:bCs w:val="0"/>
          <w:color w:val="auto"/>
          <w:sz w:val="24"/>
          <w:szCs w:val="24"/>
          <w:highlight w:val="none"/>
        </w:rPr>
        <w:t>错误修正</w:t>
      </w:r>
    </w:p>
    <w:p>
      <w:pPr>
        <w:pStyle w:val="16"/>
        <w:snapToGrid w:val="0"/>
        <w:spacing w:before="120" w:line="520" w:lineRule="exact"/>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磋商响应文件如果出现计算或表达上的错误，修正错误的原则如下：</w:t>
      </w:r>
    </w:p>
    <w:p>
      <w:pPr>
        <w:pStyle w:val="16"/>
        <w:snapToGrid w:val="0"/>
        <w:spacing w:before="120" w:line="520" w:lineRule="exact"/>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1</w:t>
      </w:r>
      <w:r>
        <w:rPr>
          <w:rFonts w:hint="eastAsia" w:hAnsi="宋体"/>
          <w:b w:val="0"/>
          <w:bCs/>
          <w:color w:val="auto"/>
          <w:sz w:val="24"/>
          <w:szCs w:val="24"/>
          <w:highlight w:val="none"/>
          <w:lang w:val="en-US" w:eastAsia="zh-CN"/>
        </w:rPr>
        <w:t>.</w:t>
      </w:r>
      <w:r>
        <w:rPr>
          <w:rFonts w:hint="eastAsia" w:hAnsi="宋体"/>
          <w:b w:val="0"/>
          <w:bCs/>
          <w:color w:val="auto"/>
          <w:sz w:val="24"/>
          <w:szCs w:val="24"/>
          <w:highlight w:val="none"/>
        </w:rPr>
        <w:t>如果用数字表示的数额与文字表示的数额不一致的，以文字数额为准；</w:t>
      </w:r>
    </w:p>
    <w:p>
      <w:pPr>
        <w:pStyle w:val="16"/>
        <w:snapToGrid w:val="0"/>
        <w:spacing w:before="120" w:line="520" w:lineRule="exact"/>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2</w:t>
      </w:r>
      <w:r>
        <w:rPr>
          <w:rFonts w:hint="eastAsia" w:hAnsi="宋体"/>
          <w:b w:val="0"/>
          <w:bCs/>
          <w:color w:val="auto"/>
          <w:sz w:val="24"/>
          <w:szCs w:val="24"/>
          <w:highlight w:val="none"/>
          <w:lang w:val="en-US" w:eastAsia="zh-CN"/>
        </w:rPr>
        <w:t>.</w:t>
      </w:r>
      <w:r>
        <w:rPr>
          <w:rFonts w:hint="eastAsia" w:hAnsi="宋体"/>
          <w:b w:val="0"/>
          <w:bCs/>
          <w:color w:val="auto"/>
          <w:sz w:val="24"/>
          <w:szCs w:val="24"/>
          <w:highlight w:val="none"/>
        </w:rPr>
        <w:t>当单价和数量的乘积与合价不一致时，通常以标出的单价为准。除非评审小组认为单价属明显的小数点错误，此时应以标出的合价为准，并修改单价。</w:t>
      </w:r>
    </w:p>
    <w:p>
      <w:pPr>
        <w:pStyle w:val="16"/>
        <w:snapToGrid w:val="0"/>
        <w:spacing w:before="120" w:line="520" w:lineRule="exact"/>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3</w:t>
      </w:r>
      <w:r>
        <w:rPr>
          <w:rFonts w:hint="eastAsia" w:hAnsi="宋体"/>
          <w:b w:val="0"/>
          <w:bCs/>
          <w:color w:val="auto"/>
          <w:sz w:val="24"/>
          <w:szCs w:val="24"/>
          <w:highlight w:val="none"/>
          <w:lang w:val="en-US" w:eastAsia="zh-CN"/>
        </w:rPr>
        <w:t>.</w:t>
      </w:r>
      <w:r>
        <w:rPr>
          <w:rFonts w:hint="eastAsia" w:hAnsi="宋体"/>
          <w:b w:val="0"/>
          <w:bCs/>
          <w:color w:val="auto"/>
          <w:sz w:val="24"/>
          <w:szCs w:val="24"/>
          <w:highlight w:val="none"/>
        </w:rPr>
        <w:t>按上述修改错误的方法，调整磋商响应文件中的磋商报价文件，经响应人确认后，调整后的磋商报价对响应人起约束作用。</w:t>
      </w:r>
    </w:p>
    <w:p>
      <w:pPr>
        <w:pStyle w:val="16"/>
        <w:snapToGrid w:val="0"/>
        <w:spacing w:before="120" w:line="520" w:lineRule="exact"/>
        <w:rPr>
          <w:rFonts w:hint="eastAsia" w:hAnsi="宋体"/>
          <w:b w:val="0"/>
          <w:bCs/>
          <w:color w:val="auto"/>
          <w:sz w:val="24"/>
          <w:szCs w:val="24"/>
          <w:highlight w:val="none"/>
        </w:rPr>
      </w:pPr>
      <w:r>
        <w:rPr>
          <w:rFonts w:hint="eastAsia" w:hAnsi="宋体"/>
          <w:b w:val="0"/>
          <w:bCs/>
          <w:color w:val="auto"/>
          <w:sz w:val="24"/>
          <w:szCs w:val="24"/>
          <w:highlight w:val="none"/>
          <w:lang w:val="en-US" w:eastAsia="zh-CN"/>
        </w:rPr>
        <w:t xml:space="preserve">    </w:t>
      </w:r>
      <w:r>
        <w:rPr>
          <w:rFonts w:hint="eastAsia" w:hAnsi="宋体"/>
          <w:b w:val="0"/>
          <w:bCs/>
          <w:color w:val="auto"/>
          <w:sz w:val="24"/>
          <w:szCs w:val="24"/>
          <w:highlight w:val="none"/>
        </w:rPr>
        <w:t>4</w:t>
      </w:r>
      <w:r>
        <w:rPr>
          <w:rFonts w:hint="eastAsia" w:hAnsi="宋体"/>
          <w:b w:val="0"/>
          <w:bCs/>
          <w:color w:val="auto"/>
          <w:sz w:val="24"/>
          <w:szCs w:val="24"/>
          <w:highlight w:val="none"/>
          <w:lang w:val="en-US" w:eastAsia="zh-CN"/>
        </w:rPr>
        <w:t>.</w:t>
      </w:r>
      <w:r>
        <w:rPr>
          <w:rFonts w:hint="eastAsia" w:hAnsi="宋体"/>
          <w:b w:val="0"/>
          <w:bCs/>
          <w:color w:val="auto"/>
          <w:sz w:val="24"/>
          <w:szCs w:val="24"/>
          <w:highlight w:val="none"/>
        </w:rPr>
        <w:t>磋商响应文件正本、副本不一致的，以磋商响应文件正本为准。</w:t>
      </w:r>
    </w:p>
    <w:p>
      <w:pPr>
        <w:pStyle w:val="16"/>
        <w:snapToGrid w:val="0"/>
        <w:spacing w:before="120" w:line="520" w:lineRule="exact"/>
        <w:ind w:firstLine="480"/>
        <w:rPr>
          <w:rFonts w:hint="eastAsia" w:hAnsi="宋体"/>
          <w:b w:val="0"/>
          <w:bCs/>
          <w:color w:val="auto"/>
          <w:sz w:val="24"/>
          <w:szCs w:val="24"/>
          <w:highlight w:val="none"/>
        </w:rPr>
      </w:pPr>
      <w:r>
        <w:rPr>
          <w:rFonts w:hint="eastAsia" w:hAnsi="宋体"/>
          <w:b w:val="0"/>
          <w:bCs/>
          <w:color w:val="auto"/>
          <w:sz w:val="24"/>
          <w:szCs w:val="24"/>
          <w:highlight w:val="none"/>
        </w:rPr>
        <w:t>按上述修正错误的原则及方法调整或修正磋商响应文件的磋商报价，响应人同意并签字确认后，调整后的磋商报价对响应人具有约束作用。如果响应人不接受修正后的报价，则其投标将作为无效投标处理。</w:t>
      </w:r>
    </w:p>
    <w:p>
      <w:pPr>
        <w:pStyle w:val="16"/>
        <w:snapToGrid w:val="0"/>
        <w:spacing w:before="120" w:line="520" w:lineRule="exact"/>
        <w:ind w:firstLine="482" w:firstLineChars="200"/>
        <w:rPr>
          <w:rFonts w:hint="eastAsia" w:hAnsi="宋体"/>
          <w:b/>
          <w:bCs w:val="0"/>
          <w:color w:val="auto"/>
          <w:sz w:val="24"/>
          <w:szCs w:val="24"/>
          <w:highlight w:val="none"/>
        </w:rPr>
      </w:pPr>
      <w:r>
        <w:rPr>
          <w:rFonts w:hint="eastAsia" w:hAnsi="宋体"/>
          <w:b/>
          <w:bCs w:val="0"/>
          <w:color w:val="auto"/>
          <w:sz w:val="24"/>
          <w:szCs w:val="24"/>
          <w:highlight w:val="none"/>
        </w:rPr>
        <w:t>（五）</w:t>
      </w:r>
      <w:r>
        <w:rPr>
          <w:rFonts w:hint="eastAsia" w:hAnsi="宋体"/>
          <w:b/>
          <w:bCs w:val="0"/>
          <w:color w:val="auto"/>
          <w:sz w:val="24"/>
          <w:szCs w:val="24"/>
          <w:highlight w:val="none"/>
          <w:lang w:eastAsia="zh-CN"/>
        </w:rPr>
        <w:t>、</w:t>
      </w:r>
      <w:r>
        <w:rPr>
          <w:rFonts w:hint="eastAsia" w:hAnsi="宋体"/>
          <w:b/>
          <w:bCs w:val="0"/>
          <w:color w:val="auto"/>
          <w:sz w:val="24"/>
          <w:szCs w:val="24"/>
          <w:highlight w:val="none"/>
        </w:rPr>
        <w:t>磋商原则和磋商办法</w:t>
      </w:r>
    </w:p>
    <w:p>
      <w:pPr>
        <w:pStyle w:val="16"/>
        <w:snapToGrid w:val="0"/>
        <w:spacing w:before="120" w:line="520" w:lineRule="exact"/>
        <w:ind w:firstLine="480"/>
        <w:rPr>
          <w:rFonts w:hint="eastAsia" w:hAnsi="宋体"/>
          <w:b w:val="0"/>
          <w:bCs/>
          <w:color w:val="auto"/>
          <w:sz w:val="24"/>
          <w:szCs w:val="24"/>
          <w:highlight w:val="none"/>
          <w:lang w:val="en-US" w:eastAsia="zh-CN"/>
        </w:rPr>
      </w:pPr>
      <w:r>
        <w:rPr>
          <w:rFonts w:hint="eastAsia" w:hAnsi="宋体"/>
          <w:b w:val="0"/>
          <w:bCs/>
          <w:color w:val="auto"/>
          <w:sz w:val="24"/>
          <w:szCs w:val="24"/>
          <w:highlight w:val="none"/>
          <w:lang w:val="en-US" w:eastAsia="zh-CN"/>
        </w:rPr>
        <w:t>1.磋商原则。磋商小组必须公平、公正、客观，不带任何倾向性和启发性；不得向外界透露任何与评标有关的内容；任何单位和个人不得干扰、影响评标的正常进行；磋商小组及有关工作人员不得私下与供应商接触。</w:t>
      </w:r>
    </w:p>
    <w:p>
      <w:pPr>
        <w:pStyle w:val="16"/>
        <w:snapToGrid w:val="0"/>
        <w:spacing w:before="120" w:line="520" w:lineRule="exact"/>
        <w:ind w:firstLine="480"/>
        <w:rPr>
          <w:rFonts w:hint="eastAsia" w:hAnsi="宋体"/>
          <w:b w:val="0"/>
          <w:bCs/>
          <w:color w:val="auto"/>
          <w:sz w:val="24"/>
          <w:szCs w:val="24"/>
          <w:highlight w:val="none"/>
        </w:rPr>
      </w:pPr>
      <w:r>
        <w:rPr>
          <w:rFonts w:hint="eastAsia" w:hAnsi="宋体"/>
          <w:b w:val="0"/>
          <w:bCs/>
          <w:color w:val="auto"/>
          <w:sz w:val="24"/>
          <w:szCs w:val="24"/>
          <w:highlight w:val="none"/>
          <w:lang w:val="en-US" w:eastAsia="zh-CN"/>
        </w:rPr>
        <w:t>2.</w:t>
      </w:r>
      <w:r>
        <w:rPr>
          <w:rFonts w:hint="eastAsia" w:hAnsi="宋体"/>
          <w:b w:val="0"/>
          <w:bCs/>
          <w:color w:val="auto"/>
          <w:sz w:val="24"/>
          <w:szCs w:val="24"/>
          <w:highlight w:val="none"/>
        </w:rPr>
        <w:t>磋商办法。本项目采用综合评分法，具体磋商内容及评分标准等详见《第四章：磋商办法及标准》。</w:t>
      </w:r>
    </w:p>
    <w:p>
      <w:pPr>
        <w:pStyle w:val="16"/>
        <w:snapToGrid w:val="0"/>
        <w:spacing w:before="120" w:line="520" w:lineRule="exact"/>
        <w:rPr>
          <w:rFonts w:hint="eastAsia" w:hAnsi="宋体"/>
          <w:b w:val="0"/>
          <w:bCs/>
          <w:color w:val="auto"/>
          <w:sz w:val="24"/>
          <w:szCs w:val="24"/>
          <w:highlight w:val="none"/>
        </w:rPr>
      </w:pPr>
      <w:r>
        <w:rPr>
          <w:rFonts w:hint="eastAsia" w:hAnsi="宋体"/>
          <w:b w:val="0"/>
          <w:bCs/>
          <w:color w:val="auto"/>
          <w:sz w:val="24"/>
          <w:szCs w:val="24"/>
          <w:highlight w:val="none"/>
        </w:rPr>
        <w:br w:type="page"/>
      </w:r>
    </w:p>
    <w:p>
      <w:pPr>
        <w:pStyle w:val="16"/>
        <w:snapToGrid w:val="0"/>
        <w:spacing w:before="120" w:line="520" w:lineRule="exact"/>
        <w:jc w:val="center"/>
        <w:outlineLvl w:val="1"/>
        <w:rPr>
          <w:rFonts w:hint="eastAsia" w:hAnsi="宋体"/>
          <w:b/>
          <w:color w:val="auto"/>
          <w:sz w:val="24"/>
          <w:szCs w:val="24"/>
          <w:highlight w:val="none"/>
        </w:rPr>
      </w:pPr>
      <w:r>
        <w:rPr>
          <w:rFonts w:hint="eastAsia" w:hAnsi="宋体"/>
          <w:b/>
          <w:color w:val="auto"/>
          <w:sz w:val="24"/>
          <w:szCs w:val="24"/>
          <w:highlight w:val="none"/>
        </w:rPr>
        <w:t>六</w:t>
      </w:r>
      <w:r>
        <w:rPr>
          <w:rFonts w:hint="eastAsia" w:hAnsi="宋体"/>
          <w:b/>
          <w:color w:val="auto"/>
          <w:sz w:val="24"/>
          <w:szCs w:val="24"/>
          <w:highlight w:val="none"/>
          <w:lang w:val="en-US" w:eastAsia="zh-CN"/>
        </w:rPr>
        <w:t xml:space="preserve"> </w:t>
      </w:r>
      <w:r>
        <w:rPr>
          <w:rFonts w:hint="eastAsia" w:hAnsi="宋体"/>
          <w:b/>
          <w:color w:val="auto"/>
          <w:sz w:val="24"/>
          <w:szCs w:val="24"/>
          <w:highlight w:val="none"/>
        </w:rPr>
        <w:t>废标</w:t>
      </w:r>
    </w:p>
    <w:p>
      <w:pPr>
        <w:pStyle w:val="16"/>
        <w:snapToGrid w:val="0"/>
        <w:spacing w:before="120" w:line="520" w:lineRule="exact"/>
        <w:ind w:firstLine="482" w:firstLineChars="200"/>
        <w:rPr>
          <w:rFonts w:hint="eastAsia" w:hAnsi="宋体"/>
          <w:b/>
          <w:bCs w:val="0"/>
          <w:color w:val="auto"/>
          <w:sz w:val="24"/>
          <w:szCs w:val="24"/>
          <w:highlight w:val="none"/>
        </w:rPr>
      </w:pPr>
      <w:r>
        <w:rPr>
          <w:rFonts w:hint="eastAsia" w:hAnsi="宋体"/>
          <w:b/>
          <w:bCs w:val="0"/>
          <w:color w:val="auto"/>
          <w:sz w:val="24"/>
          <w:szCs w:val="24"/>
          <w:highlight w:val="none"/>
        </w:rPr>
        <w:t>（一）</w:t>
      </w:r>
      <w:r>
        <w:rPr>
          <w:rFonts w:hint="eastAsia" w:hAnsi="宋体"/>
          <w:b/>
          <w:bCs w:val="0"/>
          <w:color w:val="auto"/>
          <w:sz w:val="24"/>
          <w:szCs w:val="24"/>
          <w:highlight w:val="none"/>
          <w:lang w:eastAsia="zh-CN"/>
        </w:rPr>
        <w:t>、</w:t>
      </w:r>
      <w:r>
        <w:rPr>
          <w:rFonts w:hint="eastAsia" w:hAnsi="宋体"/>
          <w:b/>
          <w:bCs w:val="0"/>
          <w:color w:val="auto"/>
          <w:sz w:val="24"/>
          <w:szCs w:val="24"/>
          <w:highlight w:val="none"/>
        </w:rPr>
        <w:t>根据《中华人民共和国政府采购法》第三十六条，出现下列情形之一的，应予以废标：</w:t>
      </w:r>
    </w:p>
    <w:p>
      <w:pPr>
        <w:pStyle w:val="16"/>
        <w:snapToGrid w:val="0"/>
        <w:spacing w:before="120" w:line="520" w:lineRule="exact"/>
        <w:ind w:firstLine="480" w:firstLineChars="200"/>
        <w:rPr>
          <w:rFonts w:hint="eastAsia" w:hAnsi="宋体"/>
          <w:b w:val="0"/>
          <w:bCs/>
          <w:color w:val="auto"/>
          <w:sz w:val="24"/>
          <w:szCs w:val="24"/>
          <w:highlight w:val="none"/>
        </w:rPr>
      </w:pPr>
      <w:r>
        <w:rPr>
          <w:rFonts w:hint="eastAsia" w:hAnsi="宋体"/>
          <w:b w:val="0"/>
          <w:bCs/>
          <w:color w:val="auto"/>
          <w:sz w:val="24"/>
          <w:szCs w:val="24"/>
          <w:highlight w:val="none"/>
        </w:rPr>
        <w:t>1</w:t>
      </w:r>
      <w:r>
        <w:rPr>
          <w:rFonts w:hint="eastAsia" w:hAnsi="宋体"/>
          <w:b w:val="0"/>
          <w:bCs/>
          <w:color w:val="auto"/>
          <w:sz w:val="24"/>
          <w:szCs w:val="24"/>
          <w:highlight w:val="none"/>
          <w:lang w:val="en-US" w:eastAsia="zh-CN"/>
        </w:rPr>
        <w:t>.</w:t>
      </w:r>
      <w:r>
        <w:rPr>
          <w:rFonts w:hint="eastAsia" w:hAnsi="宋体"/>
          <w:b w:val="0"/>
          <w:bCs/>
          <w:color w:val="auto"/>
          <w:sz w:val="24"/>
          <w:szCs w:val="24"/>
          <w:highlight w:val="none"/>
        </w:rPr>
        <w:t>出现影响采购公正的违法、违规行为的；</w:t>
      </w:r>
    </w:p>
    <w:p>
      <w:pPr>
        <w:pStyle w:val="16"/>
        <w:snapToGrid w:val="0"/>
        <w:spacing w:before="120" w:line="520" w:lineRule="exact"/>
        <w:ind w:firstLine="480" w:firstLineChars="200"/>
        <w:rPr>
          <w:rFonts w:hint="eastAsia" w:hAnsi="宋体"/>
          <w:b w:val="0"/>
          <w:bCs/>
          <w:color w:val="auto"/>
          <w:sz w:val="24"/>
          <w:szCs w:val="24"/>
          <w:highlight w:val="none"/>
        </w:rPr>
      </w:pPr>
      <w:r>
        <w:rPr>
          <w:rFonts w:hint="eastAsia" w:hAnsi="宋体"/>
          <w:b w:val="0"/>
          <w:bCs/>
          <w:color w:val="auto"/>
          <w:sz w:val="24"/>
          <w:szCs w:val="24"/>
          <w:highlight w:val="none"/>
        </w:rPr>
        <w:t>2</w:t>
      </w:r>
      <w:r>
        <w:rPr>
          <w:rFonts w:hint="eastAsia" w:hAnsi="宋体"/>
          <w:b w:val="0"/>
          <w:bCs/>
          <w:color w:val="auto"/>
          <w:sz w:val="24"/>
          <w:szCs w:val="24"/>
          <w:highlight w:val="none"/>
          <w:lang w:val="en-US" w:eastAsia="zh-CN"/>
        </w:rPr>
        <w:t>.</w:t>
      </w:r>
      <w:r>
        <w:rPr>
          <w:rFonts w:hint="eastAsia" w:hAnsi="宋体"/>
          <w:b w:val="0"/>
          <w:bCs/>
          <w:color w:val="auto"/>
          <w:sz w:val="24"/>
          <w:szCs w:val="24"/>
          <w:highlight w:val="none"/>
        </w:rPr>
        <w:t>响应人的报价均超过了采购预算，采购人不能支付的；</w:t>
      </w:r>
    </w:p>
    <w:p>
      <w:pPr>
        <w:pStyle w:val="16"/>
        <w:snapToGrid w:val="0"/>
        <w:spacing w:before="120" w:line="520" w:lineRule="exact"/>
        <w:ind w:firstLine="480" w:firstLineChars="200"/>
        <w:rPr>
          <w:rFonts w:hint="eastAsia" w:hAnsi="宋体"/>
          <w:b w:val="0"/>
          <w:bCs/>
          <w:color w:val="auto"/>
          <w:sz w:val="24"/>
          <w:szCs w:val="24"/>
          <w:highlight w:val="none"/>
        </w:rPr>
      </w:pPr>
      <w:r>
        <w:rPr>
          <w:rFonts w:hint="eastAsia" w:hAnsi="宋体"/>
          <w:b w:val="0"/>
          <w:bCs/>
          <w:color w:val="auto"/>
          <w:sz w:val="24"/>
          <w:szCs w:val="24"/>
          <w:highlight w:val="none"/>
        </w:rPr>
        <w:t>3</w:t>
      </w:r>
      <w:r>
        <w:rPr>
          <w:rFonts w:hint="eastAsia" w:hAnsi="宋体"/>
          <w:b w:val="0"/>
          <w:bCs/>
          <w:color w:val="auto"/>
          <w:sz w:val="24"/>
          <w:szCs w:val="24"/>
          <w:highlight w:val="none"/>
          <w:lang w:val="en-US" w:eastAsia="zh-CN"/>
        </w:rPr>
        <w:t>.</w:t>
      </w:r>
      <w:r>
        <w:rPr>
          <w:rFonts w:hint="eastAsia" w:hAnsi="宋体"/>
          <w:b w:val="0"/>
          <w:bCs/>
          <w:color w:val="auto"/>
          <w:sz w:val="24"/>
          <w:szCs w:val="24"/>
          <w:highlight w:val="none"/>
        </w:rPr>
        <w:t>因重大变故，采购任务取消的。</w:t>
      </w:r>
    </w:p>
    <w:p>
      <w:pPr>
        <w:pStyle w:val="16"/>
        <w:snapToGrid w:val="0"/>
        <w:spacing w:before="120" w:line="520" w:lineRule="exact"/>
        <w:ind w:firstLine="482" w:firstLineChars="200"/>
        <w:rPr>
          <w:rFonts w:hint="eastAsia" w:hAnsi="宋体"/>
          <w:b w:val="0"/>
          <w:bCs/>
          <w:color w:val="auto"/>
          <w:sz w:val="24"/>
          <w:szCs w:val="24"/>
          <w:highlight w:val="none"/>
        </w:rPr>
      </w:pPr>
      <w:r>
        <w:rPr>
          <w:rFonts w:hint="eastAsia" w:hAnsi="宋体"/>
          <w:b/>
          <w:bCs w:val="0"/>
          <w:color w:val="auto"/>
          <w:sz w:val="24"/>
          <w:szCs w:val="24"/>
          <w:highlight w:val="none"/>
          <w:lang w:eastAsia="zh-CN"/>
        </w:rPr>
        <w:t>（</w:t>
      </w:r>
      <w:r>
        <w:rPr>
          <w:rFonts w:hint="eastAsia" w:hAnsi="宋体"/>
          <w:b/>
          <w:bCs w:val="0"/>
          <w:color w:val="auto"/>
          <w:sz w:val="24"/>
          <w:szCs w:val="24"/>
          <w:highlight w:val="none"/>
          <w:lang w:val="en-US" w:eastAsia="zh-CN"/>
        </w:rPr>
        <w:t>二</w:t>
      </w:r>
      <w:r>
        <w:rPr>
          <w:rFonts w:hint="eastAsia" w:hAnsi="宋体"/>
          <w:b/>
          <w:bCs w:val="0"/>
          <w:color w:val="auto"/>
          <w:sz w:val="24"/>
          <w:szCs w:val="24"/>
          <w:highlight w:val="none"/>
          <w:lang w:eastAsia="zh-CN"/>
        </w:rPr>
        <w:t>）、</w:t>
      </w:r>
      <w:r>
        <w:rPr>
          <w:rFonts w:hint="eastAsia" w:hAnsi="宋体"/>
          <w:b/>
          <w:bCs w:val="0"/>
          <w:color w:val="auto"/>
          <w:sz w:val="24"/>
          <w:szCs w:val="24"/>
          <w:highlight w:val="none"/>
        </w:rPr>
        <w:t>废标后，采购人应当将废标理由通知所有响应人，废标后，除采购任务取消情形外，应当重新组织招标。</w:t>
      </w:r>
    </w:p>
    <w:p>
      <w:pPr>
        <w:snapToGrid w:val="0"/>
        <w:spacing w:before="120" w:line="520" w:lineRule="exact"/>
        <w:ind w:firstLine="2867" w:firstLineChars="1190"/>
        <w:outlineLvl w:val="1"/>
        <w:rPr>
          <w:rFonts w:hAnsi="宋体"/>
          <w:b/>
          <w:color w:val="auto"/>
          <w:sz w:val="24"/>
          <w:szCs w:val="24"/>
          <w:highlight w:val="none"/>
        </w:rPr>
      </w:pPr>
      <w:r>
        <w:rPr>
          <w:rFonts w:hint="eastAsia" w:hAnsi="宋体"/>
          <w:b/>
          <w:color w:val="auto"/>
          <w:sz w:val="24"/>
          <w:szCs w:val="24"/>
          <w:highlight w:val="none"/>
        </w:rPr>
        <w:br w:type="page"/>
      </w:r>
    </w:p>
    <w:p>
      <w:pPr>
        <w:pStyle w:val="16"/>
        <w:snapToGrid w:val="0"/>
        <w:spacing w:before="120" w:line="520" w:lineRule="exact"/>
        <w:jc w:val="center"/>
        <w:outlineLvl w:val="1"/>
        <w:rPr>
          <w:rFonts w:hAnsi="宋体"/>
          <w:b/>
          <w:color w:val="auto"/>
          <w:sz w:val="24"/>
          <w:szCs w:val="24"/>
          <w:highlight w:val="none"/>
        </w:rPr>
      </w:pPr>
      <w:r>
        <w:rPr>
          <w:rFonts w:hint="eastAsia" w:hAnsi="宋体"/>
          <w:b/>
          <w:color w:val="auto"/>
          <w:sz w:val="24"/>
          <w:szCs w:val="24"/>
          <w:highlight w:val="none"/>
          <w:lang w:val="en-US" w:eastAsia="zh-CN"/>
        </w:rPr>
        <w:t xml:space="preserve">七 </w:t>
      </w:r>
      <w:r>
        <w:rPr>
          <w:rFonts w:hint="eastAsia" w:hAnsi="宋体"/>
          <w:b/>
          <w:color w:val="auto"/>
          <w:sz w:val="24"/>
          <w:szCs w:val="24"/>
          <w:highlight w:val="none"/>
        </w:rPr>
        <w:t>定标</w:t>
      </w:r>
    </w:p>
    <w:p>
      <w:pPr>
        <w:pStyle w:val="16"/>
        <w:snapToGrid w:val="0"/>
        <w:spacing w:before="120" w:line="520" w:lineRule="exact"/>
        <w:ind w:firstLine="482" w:firstLineChars="200"/>
        <w:rPr>
          <w:rFonts w:hint="eastAsia" w:hAnsi="宋体"/>
          <w:color w:val="auto"/>
          <w:sz w:val="24"/>
          <w:szCs w:val="24"/>
          <w:highlight w:val="none"/>
        </w:rPr>
      </w:pPr>
      <w:r>
        <w:rPr>
          <w:rFonts w:hint="eastAsia" w:hAnsi="宋体"/>
          <w:b/>
          <w:color w:val="auto"/>
          <w:sz w:val="24"/>
          <w:szCs w:val="24"/>
          <w:highlight w:val="none"/>
        </w:rPr>
        <w:t>（一）</w:t>
      </w:r>
      <w:r>
        <w:rPr>
          <w:rFonts w:hint="eastAsia" w:hAnsi="宋体"/>
          <w:b/>
          <w:color w:val="auto"/>
          <w:sz w:val="24"/>
          <w:szCs w:val="24"/>
          <w:highlight w:val="none"/>
          <w:lang w:eastAsia="zh-CN"/>
        </w:rPr>
        <w:t>、</w:t>
      </w:r>
      <w:r>
        <w:rPr>
          <w:rFonts w:hint="eastAsia" w:hAnsi="宋体"/>
          <w:b/>
          <w:color w:val="auto"/>
          <w:sz w:val="24"/>
          <w:szCs w:val="24"/>
          <w:highlight w:val="none"/>
        </w:rPr>
        <w:t>确定中标人</w:t>
      </w:r>
      <w:r>
        <w:rPr>
          <w:rFonts w:hint="eastAsia" w:hAnsi="宋体"/>
          <w:b/>
          <w:color w:val="auto"/>
          <w:sz w:val="24"/>
          <w:szCs w:val="24"/>
          <w:highlight w:val="none"/>
          <w:lang w:eastAsia="zh-CN"/>
        </w:rPr>
        <w:t>。</w:t>
      </w:r>
      <w:r>
        <w:rPr>
          <w:rFonts w:hint="eastAsia" w:hAnsi="宋体"/>
          <w:b w:val="0"/>
          <w:bCs/>
          <w:color w:val="auto"/>
          <w:sz w:val="24"/>
          <w:szCs w:val="24"/>
          <w:highlight w:val="none"/>
          <w:lang w:eastAsia="zh-CN"/>
        </w:rPr>
        <w:t>本项目由采购人事先授权评审小组确定中标候选人</w:t>
      </w:r>
      <w:r>
        <w:rPr>
          <w:rFonts w:hint="eastAsia" w:hAnsi="宋体"/>
          <w:b w:val="0"/>
          <w:bCs/>
          <w:color w:val="auto"/>
          <w:sz w:val="24"/>
          <w:szCs w:val="24"/>
          <w:highlight w:val="none"/>
          <w:lang w:val="en-US" w:eastAsia="zh-CN"/>
        </w:rPr>
        <w:t>1</w:t>
      </w:r>
      <w:r>
        <w:rPr>
          <w:rFonts w:hint="eastAsia" w:hAnsi="宋体"/>
          <w:b w:val="0"/>
          <w:bCs/>
          <w:color w:val="auto"/>
          <w:sz w:val="24"/>
          <w:szCs w:val="24"/>
          <w:highlight w:val="none"/>
          <w:lang w:eastAsia="zh-CN"/>
        </w:rPr>
        <w:t>名</w:t>
      </w:r>
      <w:r>
        <w:rPr>
          <w:rFonts w:hint="eastAsia" w:hAnsi="宋体"/>
          <w:color w:val="auto"/>
          <w:sz w:val="24"/>
          <w:szCs w:val="24"/>
          <w:highlight w:val="none"/>
        </w:rPr>
        <w:t>。推荐第一名中标候选人为中标人，经采购人确认后，确定项目中标人，同时发布采购结果公告，发出中标通知书。</w:t>
      </w:r>
    </w:p>
    <w:p>
      <w:pPr>
        <w:pStyle w:val="16"/>
        <w:snapToGrid w:val="0"/>
        <w:spacing w:before="120" w:line="520" w:lineRule="exact"/>
        <w:rPr>
          <w:rFonts w:hint="eastAsia" w:hAnsi="宋体"/>
          <w:color w:val="auto"/>
          <w:sz w:val="24"/>
          <w:szCs w:val="24"/>
          <w:highlight w:val="none"/>
          <w:lang w:val="en-US" w:eastAsia="zh-CN"/>
        </w:rPr>
      </w:pPr>
      <w:r>
        <w:rPr>
          <w:rFonts w:hint="eastAsia" w:hAnsi="宋体"/>
          <w:color w:val="auto"/>
          <w:sz w:val="24"/>
          <w:szCs w:val="24"/>
          <w:highlight w:val="none"/>
          <w:lang w:val="en-US" w:eastAsia="zh-CN"/>
        </w:rPr>
        <w:t xml:space="preserve">    1.响应人对评审结果无异议的，采购人应在评审结束后5个工作日内对评审结果进行确认。如有响应人对评审结果提出质疑的，采购人可在质疑处理完毕后确定中标人。</w:t>
      </w:r>
    </w:p>
    <w:p>
      <w:pPr>
        <w:pStyle w:val="16"/>
        <w:snapToGrid w:val="0"/>
        <w:spacing w:before="120" w:line="520" w:lineRule="exact"/>
        <w:rPr>
          <w:rFonts w:hint="eastAsia" w:hAnsi="宋体"/>
          <w:color w:val="auto"/>
          <w:sz w:val="24"/>
          <w:szCs w:val="24"/>
          <w:highlight w:val="none"/>
          <w:lang w:val="en-US" w:eastAsia="zh-CN"/>
        </w:rPr>
      </w:pPr>
      <w:r>
        <w:rPr>
          <w:rFonts w:hint="eastAsia" w:hAnsi="宋体"/>
          <w:color w:val="auto"/>
          <w:sz w:val="24"/>
          <w:szCs w:val="24"/>
          <w:highlight w:val="none"/>
          <w:lang w:val="en-US" w:eastAsia="zh-CN"/>
        </w:rPr>
        <w:t xml:space="preserve">    3.采购人依法确定中标人后2个工作日内，采购人以邮件形式发出《中标通知书》,并同时在相关网站上发布中标公告。</w:t>
      </w:r>
    </w:p>
    <w:p>
      <w:pPr>
        <w:pStyle w:val="16"/>
        <w:snapToGrid w:val="0"/>
        <w:spacing w:before="120" w:line="520" w:lineRule="exact"/>
        <w:rPr>
          <w:rFonts w:hint="eastAsia" w:hAnsi="宋体"/>
          <w:color w:val="auto"/>
          <w:sz w:val="24"/>
          <w:szCs w:val="24"/>
          <w:highlight w:val="none"/>
          <w:lang w:val="en-US" w:eastAsia="zh-CN"/>
        </w:rPr>
      </w:pPr>
      <w:r>
        <w:rPr>
          <w:rFonts w:hint="eastAsia" w:hAnsi="宋体"/>
          <w:color w:val="auto"/>
          <w:sz w:val="24"/>
          <w:szCs w:val="24"/>
          <w:highlight w:val="none"/>
          <w:lang w:val="en-US" w:eastAsia="zh-CN"/>
        </w:rPr>
        <w:t>（二）中标人因自身原因放弃中标或因不可抗力不能履行合同的；经质疑，采购代理机构审查确认因中标人在本次采购活动中存在违法违规行为或其他原因使质疑成立的，如发生上述两种情况的，采购人可以与排位在中标人之后第一位的中标候选人签订采购合同，以此类推。</w:t>
      </w:r>
    </w:p>
    <w:p>
      <w:pPr>
        <w:pStyle w:val="16"/>
        <w:snapToGrid w:val="0"/>
        <w:spacing w:before="120" w:line="520" w:lineRule="exact"/>
        <w:jc w:val="center"/>
        <w:outlineLvl w:val="1"/>
        <w:rPr>
          <w:rFonts w:hint="eastAsia" w:hAnsi="宋体"/>
          <w:b/>
          <w:color w:val="auto"/>
          <w:sz w:val="24"/>
          <w:szCs w:val="24"/>
          <w:highlight w:val="none"/>
        </w:rPr>
      </w:pPr>
      <w:r>
        <w:rPr>
          <w:rFonts w:hint="eastAsia" w:hAnsi="宋体"/>
          <w:b/>
          <w:color w:val="auto"/>
          <w:sz w:val="24"/>
          <w:szCs w:val="24"/>
          <w:highlight w:val="none"/>
          <w:lang w:val="en-US" w:eastAsia="zh-CN"/>
        </w:rPr>
        <w:t xml:space="preserve">八 </w:t>
      </w:r>
      <w:r>
        <w:rPr>
          <w:rFonts w:hint="eastAsia" w:hAnsi="宋体"/>
          <w:b/>
          <w:color w:val="auto"/>
          <w:sz w:val="24"/>
          <w:szCs w:val="24"/>
          <w:highlight w:val="none"/>
        </w:rPr>
        <w:t>合同授予</w:t>
      </w:r>
    </w:p>
    <w:p>
      <w:pPr>
        <w:pStyle w:val="16"/>
        <w:snapToGrid w:val="0"/>
        <w:spacing w:before="120" w:line="520" w:lineRule="exact"/>
        <w:ind w:firstLine="482" w:firstLineChars="200"/>
        <w:jc w:val="both"/>
        <w:outlineLvl w:val="1"/>
        <w:rPr>
          <w:rFonts w:hint="eastAsia" w:ascii="宋体" w:hAnsi="宋体"/>
          <w:b/>
          <w:color w:val="auto"/>
          <w:sz w:val="24"/>
          <w:szCs w:val="24"/>
          <w:highlight w:val="none"/>
        </w:rPr>
      </w:pPr>
      <w:r>
        <w:rPr>
          <w:rFonts w:hint="eastAsia" w:ascii="宋体" w:hAnsi="宋体"/>
          <w:b/>
          <w:color w:val="auto"/>
          <w:sz w:val="24"/>
          <w:szCs w:val="24"/>
          <w:highlight w:val="none"/>
        </w:rPr>
        <w:t>（一）</w:t>
      </w:r>
      <w:r>
        <w:rPr>
          <w:rFonts w:hint="eastAsia" w:hAnsi="宋体"/>
          <w:b/>
          <w:color w:val="auto"/>
          <w:sz w:val="24"/>
          <w:szCs w:val="24"/>
          <w:highlight w:val="none"/>
          <w:lang w:eastAsia="zh-CN"/>
        </w:rPr>
        <w:t>、</w:t>
      </w:r>
      <w:r>
        <w:rPr>
          <w:rFonts w:hint="eastAsia" w:ascii="宋体" w:hAnsi="宋体"/>
          <w:b/>
          <w:color w:val="auto"/>
          <w:sz w:val="24"/>
          <w:szCs w:val="24"/>
          <w:highlight w:val="none"/>
        </w:rPr>
        <w:t>签订合同</w:t>
      </w:r>
    </w:p>
    <w:p>
      <w:pPr>
        <w:pStyle w:val="16"/>
        <w:snapToGrid w:val="0"/>
        <w:spacing w:before="120" w:line="520" w:lineRule="exact"/>
        <w:ind w:firstLine="480" w:firstLineChars="200"/>
        <w:jc w:val="both"/>
        <w:outlineLvl w:val="1"/>
        <w:rPr>
          <w:rFonts w:hint="eastAsia" w:hAnsi="宋体"/>
          <w:color w:val="auto"/>
          <w:sz w:val="24"/>
          <w:szCs w:val="24"/>
          <w:highlight w:val="none"/>
          <w:lang w:val="en-US" w:eastAsia="zh-CN"/>
        </w:rPr>
      </w:pPr>
      <w:r>
        <w:rPr>
          <w:rFonts w:hint="eastAsia" w:hAnsi="宋体"/>
          <w:color w:val="auto"/>
          <w:sz w:val="24"/>
          <w:szCs w:val="24"/>
          <w:highlight w:val="none"/>
          <w:lang w:val="en-US" w:eastAsia="zh-CN"/>
        </w:rPr>
        <w:t>1.中标人应自接到中标通知书后30日内与采购人签定合同。同时，采购代理机构对合同内容进行审查，如发现与采购结果和投标承诺内容不一致的，应予以纠正。</w:t>
      </w:r>
    </w:p>
    <w:p>
      <w:pPr>
        <w:pStyle w:val="16"/>
        <w:snapToGrid w:val="0"/>
        <w:spacing w:before="120" w:line="520" w:lineRule="exact"/>
        <w:ind w:firstLine="480" w:firstLineChars="200"/>
        <w:rPr>
          <w:rFonts w:hint="eastAsia" w:hAnsi="宋体"/>
          <w:color w:val="auto"/>
          <w:sz w:val="24"/>
          <w:szCs w:val="24"/>
          <w:highlight w:val="none"/>
          <w:lang w:val="en-US" w:eastAsia="zh-CN"/>
        </w:rPr>
      </w:pPr>
      <w:r>
        <w:rPr>
          <w:rFonts w:hint="eastAsia" w:hAnsi="宋体"/>
          <w:color w:val="auto"/>
          <w:sz w:val="24"/>
          <w:szCs w:val="24"/>
          <w:highlight w:val="none"/>
          <w:lang w:val="en-US" w:eastAsia="zh-CN"/>
        </w:rPr>
        <w:t>2.中标人拖延、拒签合同的，将上报监管部门并取消中标资格。</w:t>
      </w:r>
    </w:p>
    <w:p>
      <w:pPr>
        <w:pStyle w:val="16"/>
        <w:snapToGrid w:val="0"/>
        <w:spacing w:before="120" w:line="520" w:lineRule="exact"/>
        <w:ind w:firstLine="480" w:firstLineChars="200"/>
        <w:rPr>
          <w:rFonts w:hint="eastAsia" w:hAnsi="宋体"/>
          <w:color w:val="auto"/>
          <w:sz w:val="24"/>
          <w:szCs w:val="24"/>
          <w:highlight w:val="none"/>
          <w:lang w:val="en-US" w:eastAsia="zh-CN"/>
        </w:rPr>
      </w:pPr>
      <w:r>
        <w:rPr>
          <w:rFonts w:hint="eastAsia" w:hAnsi="宋体"/>
          <w:color w:val="auto"/>
          <w:sz w:val="24"/>
          <w:szCs w:val="24"/>
          <w:highlight w:val="none"/>
          <w:lang w:val="en-US" w:eastAsia="zh-CN"/>
        </w:rPr>
        <w:t>3.中标人和采购人签订合同，按合同规定的供货时间供货并安装调试完毕。</w:t>
      </w:r>
    </w:p>
    <w:p>
      <w:pPr>
        <w:pStyle w:val="16"/>
        <w:snapToGrid w:val="0"/>
        <w:spacing w:before="120" w:line="520" w:lineRule="exact"/>
        <w:ind w:firstLine="480" w:firstLineChars="200"/>
        <w:rPr>
          <w:rFonts w:hint="eastAsia" w:hAnsi="宋体"/>
          <w:color w:val="auto"/>
          <w:sz w:val="24"/>
          <w:szCs w:val="24"/>
          <w:highlight w:val="none"/>
          <w:lang w:val="en-US" w:eastAsia="zh-CN"/>
        </w:rPr>
      </w:pPr>
      <w:r>
        <w:rPr>
          <w:rFonts w:hint="eastAsia" w:hAnsi="宋体"/>
          <w:color w:val="auto"/>
          <w:sz w:val="24"/>
          <w:szCs w:val="24"/>
          <w:highlight w:val="none"/>
          <w:lang w:val="en-US" w:eastAsia="zh-CN"/>
        </w:rPr>
        <w:t>4.已确定中标或者成交供应商但尚未签订政府采购合同的，认定中标或者成交结果无效。合格供应商符合法定数量时，可以从合格的中标或者成交候选人中另行确定中标或者成交供应商的，应当要求采购人依法另行确定中标、成交供应商；否则责令重新开展采购活动。</w:t>
      </w:r>
    </w:p>
    <w:p>
      <w:pPr>
        <w:jc w:val="left"/>
        <w:rPr>
          <w:rFonts w:ascii="宋体" w:hAnsi="宋体" w:cs="Arial"/>
          <w:b/>
          <w:bCs/>
          <w:color w:val="auto"/>
          <w:sz w:val="24"/>
          <w:szCs w:val="24"/>
          <w:highlight w:val="none"/>
        </w:rPr>
      </w:pPr>
      <w:r>
        <w:rPr>
          <w:rFonts w:hint="eastAsia" w:ascii="宋体" w:hAnsi="宋体" w:cs="Arial"/>
          <w:b/>
          <w:bCs/>
          <w:color w:val="auto"/>
          <w:sz w:val="24"/>
          <w:szCs w:val="24"/>
          <w:highlight w:val="none"/>
        </w:rPr>
        <w:br w:type="page"/>
      </w:r>
    </w:p>
    <w:p>
      <w:pPr>
        <w:spacing w:line="520" w:lineRule="exact"/>
        <w:jc w:val="center"/>
        <w:outlineLvl w:val="0"/>
        <w:rPr>
          <w:rFonts w:ascii="宋体" w:hAnsi="宋体"/>
          <w:color w:val="auto"/>
          <w:sz w:val="24"/>
          <w:szCs w:val="24"/>
          <w:highlight w:val="none"/>
        </w:rPr>
      </w:pPr>
      <w:r>
        <w:rPr>
          <w:rFonts w:hint="eastAsia" w:ascii="宋体" w:hAnsi="宋体" w:cs="Arial"/>
          <w:b/>
          <w:bCs/>
          <w:color w:val="auto"/>
          <w:sz w:val="24"/>
          <w:szCs w:val="24"/>
          <w:highlight w:val="none"/>
        </w:rPr>
        <w:t>第四章  评标办法及标准</w:t>
      </w:r>
    </w:p>
    <w:p>
      <w:pPr>
        <w:spacing w:line="520" w:lineRule="exact"/>
        <w:ind w:firstLine="482" w:firstLineChars="200"/>
        <w:rPr>
          <w:rFonts w:ascii="宋体" w:hAnsi="宋体"/>
          <w:b/>
          <w:color w:val="auto"/>
          <w:sz w:val="24"/>
          <w:szCs w:val="24"/>
          <w:highlight w:val="none"/>
        </w:rPr>
      </w:pPr>
      <w:r>
        <w:rPr>
          <w:rFonts w:hint="eastAsia" w:ascii="宋体" w:hAnsi="宋体"/>
          <w:b/>
          <w:color w:val="auto"/>
          <w:sz w:val="24"/>
          <w:szCs w:val="24"/>
          <w:highlight w:val="none"/>
        </w:rPr>
        <w:t>一、评标办法</w:t>
      </w:r>
    </w:p>
    <w:p>
      <w:pPr>
        <w:spacing w:line="520" w:lineRule="exact"/>
        <w:ind w:firstLine="480" w:firstLineChars="200"/>
        <w:jc w:val="left"/>
        <w:rPr>
          <w:rFonts w:ascii="宋体" w:hAnsi="宋体"/>
          <w:color w:val="auto"/>
          <w:sz w:val="24"/>
          <w:szCs w:val="24"/>
          <w:highlight w:val="none"/>
        </w:rPr>
      </w:pPr>
      <w:r>
        <w:rPr>
          <w:rFonts w:hint="eastAsia" w:ascii="宋体" w:hAnsi="宋体"/>
          <w:color w:val="auto"/>
          <w:sz w:val="24"/>
          <w:szCs w:val="24"/>
          <w:highlight w:val="none"/>
        </w:rPr>
        <w:t>1.1本项目评标采用综合评分法。</w:t>
      </w:r>
    </w:p>
    <w:p>
      <w:pPr>
        <w:spacing w:line="520" w:lineRule="exact"/>
        <w:ind w:firstLine="480" w:firstLineChars="200"/>
        <w:jc w:val="left"/>
        <w:rPr>
          <w:rFonts w:ascii="宋体" w:hAnsi="宋体"/>
          <w:color w:val="auto"/>
          <w:sz w:val="24"/>
          <w:szCs w:val="24"/>
          <w:highlight w:val="none"/>
        </w:rPr>
      </w:pPr>
      <w:r>
        <w:rPr>
          <w:rFonts w:hint="eastAsia" w:ascii="宋体" w:hAnsi="宋体"/>
          <w:color w:val="auto"/>
          <w:sz w:val="24"/>
          <w:szCs w:val="24"/>
          <w:highlight w:val="none"/>
        </w:rPr>
        <w:t>1.2综合评分法：采用百分制，总分100分。</w:t>
      </w:r>
      <w:bookmarkStart w:id="7" w:name="OLE_LINK8"/>
      <w:r>
        <w:rPr>
          <w:rFonts w:hint="eastAsia" w:ascii="宋体" w:hAnsi="宋体"/>
          <w:color w:val="auto"/>
          <w:sz w:val="24"/>
          <w:szCs w:val="24"/>
          <w:highlight w:val="none"/>
          <w:lang w:val="en-US" w:eastAsia="zh-CN"/>
        </w:rPr>
        <w:t>响应</w:t>
      </w:r>
      <w:r>
        <w:rPr>
          <w:rFonts w:hint="eastAsia" w:ascii="宋体" w:hAnsi="宋体"/>
          <w:color w:val="auto"/>
          <w:sz w:val="24"/>
          <w:szCs w:val="24"/>
          <w:highlight w:val="none"/>
        </w:rPr>
        <w:t>人</w:t>
      </w:r>
      <w:bookmarkEnd w:id="7"/>
      <w:r>
        <w:rPr>
          <w:rFonts w:hint="eastAsia" w:ascii="宋体" w:hAnsi="宋体"/>
          <w:color w:val="auto"/>
          <w:sz w:val="24"/>
          <w:szCs w:val="24"/>
          <w:highlight w:val="none"/>
        </w:rPr>
        <w:t>的综合得分为商务技术得分</w:t>
      </w: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满分70分</w:t>
      </w:r>
      <w:r>
        <w:rPr>
          <w:rFonts w:hint="eastAsia" w:ascii="宋体" w:hAnsi="宋体"/>
          <w:color w:val="auto"/>
          <w:sz w:val="24"/>
          <w:szCs w:val="24"/>
          <w:highlight w:val="none"/>
          <w:lang w:eastAsia="zh-CN"/>
        </w:rPr>
        <w:t>）</w:t>
      </w:r>
      <w:r>
        <w:rPr>
          <w:rFonts w:hint="eastAsia" w:ascii="宋体" w:hAnsi="宋体"/>
          <w:color w:val="auto"/>
          <w:sz w:val="24"/>
          <w:szCs w:val="24"/>
          <w:highlight w:val="none"/>
        </w:rPr>
        <w:t>与报价得分</w:t>
      </w: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满分30分</w:t>
      </w:r>
      <w:r>
        <w:rPr>
          <w:rFonts w:hint="eastAsia" w:ascii="宋体" w:hAnsi="宋体"/>
          <w:color w:val="auto"/>
          <w:sz w:val="24"/>
          <w:szCs w:val="24"/>
          <w:highlight w:val="none"/>
          <w:lang w:eastAsia="zh-CN"/>
        </w:rPr>
        <w:t>）</w:t>
      </w:r>
      <w:r>
        <w:rPr>
          <w:rFonts w:hint="eastAsia" w:ascii="宋体" w:hAnsi="宋体"/>
          <w:color w:val="auto"/>
          <w:sz w:val="24"/>
          <w:szCs w:val="24"/>
          <w:highlight w:val="none"/>
        </w:rPr>
        <w:t>之和。</w:t>
      </w:r>
      <w:r>
        <w:rPr>
          <w:rFonts w:hint="eastAsia" w:ascii="宋体" w:hAnsi="宋体" w:cs="Arial"/>
          <w:color w:val="auto"/>
          <w:sz w:val="24"/>
          <w:szCs w:val="24"/>
          <w:highlight w:val="none"/>
        </w:rPr>
        <w:t>按综合得分由高到底进行排序，推荐综合得分排序第一的</w:t>
      </w:r>
      <w:r>
        <w:rPr>
          <w:rFonts w:hint="eastAsia" w:ascii="宋体" w:hAnsi="宋体" w:cs="Arial"/>
          <w:color w:val="auto"/>
          <w:sz w:val="24"/>
          <w:szCs w:val="24"/>
          <w:highlight w:val="none"/>
          <w:lang w:val="en-US" w:eastAsia="zh-CN"/>
        </w:rPr>
        <w:t>响应</w:t>
      </w:r>
      <w:r>
        <w:rPr>
          <w:rFonts w:hint="eastAsia" w:ascii="宋体" w:hAnsi="宋体" w:cs="Arial"/>
          <w:color w:val="auto"/>
          <w:sz w:val="24"/>
          <w:szCs w:val="24"/>
          <w:highlight w:val="none"/>
        </w:rPr>
        <w:t>人为中标候选人，</w:t>
      </w:r>
      <w:r>
        <w:rPr>
          <w:rFonts w:hint="eastAsia" w:ascii="宋体" w:hAnsi="宋体"/>
          <w:color w:val="auto"/>
          <w:sz w:val="24"/>
          <w:szCs w:val="24"/>
          <w:highlight w:val="none"/>
        </w:rPr>
        <w:t>若</w:t>
      </w:r>
      <w:r>
        <w:rPr>
          <w:rFonts w:hint="eastAsia" w:ascii="宋体" w:hAnsi="宋体"/>
          <w:color w:val="auto"/>
          <w:sz w:val="24"/>
          <w:szCs w:val="24"/>
          <w:highlight w:val="none"/>
          <w:lang w:val="en-US" w:eastAsia="zh-CN"/>
        </w:rPr>
        <w:t>响应</w:t>
      </w:r>
      <w:r>
        <w:rPr>
          <w:rFonts w:hint="eastAsia" w:ascii="宋体" w:hAnsi="宋体"/>
          <w:color w:val="auto"/>
          <w:sz w:val="24"/>
          <w:szCs w:val="24"/>
          <w:highlight w:val="none"/>
        </w:rPr>
        <w:t>人的综合得分相等，则投标报价低者列前；若投标报价也相同时，采取随机抽签的方式确定排序。</w:t>
      </w:r>
    </w:p>
    <w:p>
      <w:pPr>
        <w:spacing w:line="520" w:lineRule="exact"/>
        <w:ind w:firstLine="482" w:firstLineChars="200"/>
        <w:rPr>
          <w:rFonts w:ascii="宋体" w:hAnsi="宋体"/>
          <w:b/>
          <w:color w:val="auto"/>
          <w:sz w:val="24"/>
          <w:szCs w:val="24"/>
          <w:highlight w:val="none"/>
        </w:rPr>
      </w:pPr>
      <w:r>
        <w:rPr>
          <w:rFonts w:hint="eastAsia" w:ascii="宋体" w:hAnsi="宋体"/>
          <w:b/>
          <w:color w:val="auto"/>
          <w:sz w:val="24"/>
          <w:szCs w:val="24"/>
          <w:highlight w:val="none"/>
        </w:rPr>
        <w:t>二、评标程序</w:t>
      </w:r>
    </w:p>
    <w:p>
      <w:pPr>
        <w:spacing w:line="520" w:lineRule="exact"/>
        <w:ind w:firstLine="482" w:firstLineChars="200"/>
        <w:rPr>
          <w:rFonts w:ascii="宋体" w:hAnsi="宋体"/>
          <w:b/>
          <w:color w:val="auto"/>
          <w:sz w:val="24"/>
          <w:szCs w:val="24"/>
          <w:highlight w:val="none"/>
        </w:rPr>
      </w:pPr>
      <w:r>
        <w:rPr>
          <w:rFonts w:hint="eastAsia" w:ascii="宋体" w:hAnsi="宋体"/>
          <w:b/>
          <w:color w:val="auto"/>
          <w:sz w:val="24"/>
          <w:szCs w:val="24"/>
          <w:highlight w:val="none"/>
        </w:rPr>
        <w:t>2.1第一阶段评审</w:t>
      </w:r>
    </w:p>
    <w:p>
      <w:pPr>
        <w:spacing w:line="520" w:lineRule="exact"/>
        <w:ind w:firstLine="480" w:firstLineChars="200"/>
        <w:rPr>
          <w:rFonts w:ascii="宋体" w:hAnsi="宋体"/>
          <w:b/>
          <w:color w:val="auto"/>
          <w:sz w:val="24"/>
          <w:szCs w:val="24"/>
          <w:highlight w:val="none"/>
        </w:rPr>
      </w:pPr>
      <w:r>
        <w:rPr>
          <w:rFonts w:hint="eastAsia" w:ascii="宋体" w:hAnsi="宋体"/>
          <w:color w:val="auto"/>
          <w:sz w:val="24"/>
          <w:szCs w:val="24"/>
          <w:highlight w:val="none"/>
        </w:rPr>
        <w:t>▲2.1.1</w:t>
      </w:r>
      <w:r>
        <w:rPr>
          <w:rFonts w:hint="eastAsia" w:ascii="宋体" w:hAnsi="宋体"/>
          <w:color w:val="auto"/>
          <w:sz w:val="24"/>
          <w:szCs w:val="24"/>
          <w:highlight w:val="none"/>
          <w:lang w:val="zh-TW"/>
        </w:rPr>
        <w:t>资格证明文件</w:t>
      </w:r>
      <w:r>
        <w:rPr>
          <w:rFonts w:hint="eastAsia" w:ascii="宋体" w:hAnsi="宋体"/>
          <w:color w:val="auto"/>
          <w:sz w:val="24"/>
          <w:szCs w:val="24"/>
          <w:highlight w:val="none"/>
        </w:rPr>
        <w:t>初步审查：资格性审查</w:t>
      </w:r>
      <w:r>
        <w:rPr>
          <w:rFonts w:hint="eastAsia" w:ascii="宋体" w:hAnsi="宋体"/>
          <w:color w:val="auto"/>
          <w:sz w:val="24"/>
          <w:szCs w:val="24"/>
          <w:highlight w:val="none"/>
          <w:lang w:eastAsia="zh-CN"/>
        </w:rPr>
        <w:t>，</w:t>
      </w:r>
      <w:r>
        <w:rPr>
          <w:rFonts w:hint="eastAsia" w:ascii="宋体" w:hAnsi="宋体"/>
          <w:color w:val="auto"/>
          <w:sz w:val="24"/>
          <w:szCs w:val="24"/>
          <w:highlight w:val="none"/>
        </w:rPr>
        <w:t>是指采购人或代理机构根据“附表1资格性审查表”的要求对</w:t>
      </w:r>
      <w:r>
        <w:rPr>
          <w:rFonts w:hint="eastAsia" w:ascii="宋体" w:hAnsi="宋体"/>
          <w:color w:val="auto"/>
          <w:sz w:val="24"/>
          <w:szCs w:val="24"/>
          <w:highlight w:val="none"/>
          <w:lang w:val="en-US" w:eastAsia="zh-CN"/>
        </w:rPr>
        <w:t>磋商响应</w:t>
      </w:r>
      <w:r>
        <w:rPr>
          <w:rFonts w:hint="eastAsia" w:ascii="宋体" w:hAnsi="宋体"/>
          <w:color w:val="auto"/>
          <w:sz w:val="24"/>
          <w:szCs w:val="24"/>
          <w:highlight w:val="none"/>
        </w:rPr>
        <w:t>文件逐一进行评审。</w:t>
      </w:r>
      <w:r>
        <w:rPr>
          <w:rFonts w:hint="eastAsia" w:ascii="宋体" w:hAnsi="宋体"/>
          <w:b/>
          <w:color w:val="auto"/>
          <w:sz w:val="24"/>
          <w:szCs w:val="24"/>
          <w:highlight w:val="none"/>
        </w:rPr>
        <w:t>资格性审查中，审查结论不合格的，作无效标处理。</w:t>
      </w:r>
    </w:p>
    <w:p>
      <w:pPr>
        <w:spacing w:line="520" w:lineRule="exact"/>
        <w:ind w:firstLine="480" w:firstLineChars="200"/>
        <w:jc w:val="left"/>
        <w:rPr>
          <w:rFonts w:ascii="宋体" w:hAnsi="宋体"/>
          <w:color w:val="auto"/>
          <w:sz w:val="24"/>
          <w:szCs w:val="24"/>
          <w:highlight w:val="none"/>
        </w:rPr>
      </w:pPr>
      <w:r>
        <w:rPr>
          <w:rFonts w:hint="eastAsia" w:ascii="宋体" w:hAnsi="宋体"/>
          <w:color w:val="auto"/>
          <w:sz w:val="24"/>
          <w:szCs w:val="24"/>
          <w:highlight w:val="none"/>
        </w:rPr>
        <w:t>2.1.2</w:t>
      </w:r>
      <w:r>
        <w:rPr>
          <w:rFonts w:hint="eastAsia" w:ascii="宋体" w:hAnsi="宋体"/>
          <w:color w:val="auto"/>
          <w:sz w:val="24"/>
          <w:szCs w:val="24"/>
          <w:highlight w:val="none"/>
          <w:lang w:val="zh-CN"/>
        </w:rPr>
        <w:t>比较与评价：</w:t>
      </w:r>
      <w:r>
        <w:rPr>
          <w:rFonts w:hint="eastAsia" w:ascii="宋体" w:hAnsi="宋体"/>
          <w:color w:val="auto"/>
          <w:sz w:val="24"/>
          <w:szCs w:val="24"/>
          <w:highlight w:val="none"/>
          <w:lang w:val="en-US" w:eastAsia="zh-CN"/>
        </w:rPr>
        <w:t>磋商小组</w:t>
      </w:r>
      <w:r>
        <w:rPr>
          <w:rFonts w:hint="eastAsia" w:ascii="宋体" w:hAnsi="宋体"/>
          <w:color w:val="auto"/>
          <w:sz w:val="24"/>
          <w:szCs w:val="24"/>
          <w:highlight w:val="none"/>
        </w:rPr>
        <w:t>根据“附表</w:t>
      </w:r>
      <w:r>
        <w:rPr>
          <w:rFonts w:hint="eastAsia" w:ascii="宋体" w:hAnsi="宋体"/>
          <w:color w:val="auto"/>
          <w:sz w:val="24"/>
          <w:szCs w:val="24"/>
          <w:highlight w:val="none"/>
          <w:lang w:val="en-US" w:eastAsia="zh-CN"/>
        </w:rPr>
        <w:t>2</w:t>
      </w:r>
      <w:r>
        <w:rPr>
          <w:rFonts w:hint="eastAsia" w:ascii="宋体" w:hAnsi="宋体"/>
          <w:color w:val="auto"/>
          <w:sz w:val="24"/>
          <w:szCs w:val="24"/>
          <w:highlight w:val="none"/>
        </w:rPr>
        <w:t>商务技术评分表”的要求，</w:t>
      </w:r>
      <w:r>
        <w:rPr>
          <w:rFonts w:hint="eastAsia" w:ascii="宋体" w:hAnsi="宋体"/>
          <w:color w:val="auto"/>
          <w:sz w:val="24"/>
          <w:szCs w:val="24"/>
          <w:highlight w:val="none"/>
          <w:lang w:val="zh-CN"/>
        </w:rPr>
        <w:t>对照</w:t>
      </w:r>
      <w:r>
        <w:rPr>
          <w:rFonts w:hint="eastAsia" w:ascii="宋体" w:hAnsi="宋体"/>
          <w:color w:val="auto"/>
          <w:sz w:val="24"/>
          <w:szCs w:val="24"/>
          <w:highlight w:val="none"/>
          <w:lang w:val="en-US" w:eastAsia="zh-CN"/>
        </w:rPr>
        <w:t>磋商响应文件</w:t>
      </w:r>
      <w:r>
        <w:rPr>
          <w:rFonts w:hint="eastAsia" w:ascii="宋体" w:hAnsi="宋体"/>
          <w:color w:val="auto"/>
          <w:sz w:val="24"/>
          <w:szCs w:val="24"/>
          <w:highlight w:val="none"/>
          <w:lang w:val="zh-CN"/>
        </w:rPr>
        <w:t>的应答进行比较，判定其偏差性质和程度，</w:t>
      </w:r>
      <w:r>
        <w:rPr>
          <w:rFonts w:hint="eastAsia" w:ascii="宋体" w:hAnsi="宋体"/>
          <w:color w:val="auto"/>
          <w:sz w:val="24"/>
          <w:szCs w:val="24"/>
          <w:highlight w:val="none"/>
        </w:rPr>
        <w:t>由</w:t>
      </w:r>
      <w:r>
        <w:rPr>
          <w:rFonts w:hint="eastAsia" w:ascii="宋体" w:hAnsi="宋体"/>
          <w:color w:val="auto"/>
          <w:sz w:val="24"/>
          <w:szCs w:val="24"/>
          <w:highlight w:val="none"/>
          <w:lang w:val="en-US" w:eastAsia="zh-CN"/>
        </w:rPr>
        <w:t>磋商小组</w:t>
      </w:r>
      <w:r>
        <w:rPr>
          <w:rFonts w:hint="eastAsia" w:ascii="宋体" w:hAnsi="宋体"/>
          <w:color w:val="auto"/>
          <w:sz w:val="24"/>
          <w:szCs w:val="24"/>
          <w:highlight w:val="none"/>
        </w:rPr>
        <w:t>成员在分值范围内自行评分。</w:t>
      </w:r>
      <w:r>
        <w:rPr>
          <w:rFonts w:hint="eastAsia" w:ascii="宋体" w:hAnsi="宋体"/>
          <w:color w:val="auto"/>
          <w:sz w:val="24"/>
          <w:szCs w:val="24"/>
          <w:highlight w:val="none"/>
          <w:lang w:val="en-US" w:eastAsia="zh-CN"/>
        </w:rPr>
        <w:t>响应人</w:t>
      </w:r>
      <w:r>
        <w:rPr>
          <w:rFonts w:hint="eastAsia" w:ascii="宋体" w:hAnsi="宋体"/>
          <w:color w:val="auto"/>
          <w:sz w:val="24"/>
          <w:szCs w:val="24"/>
          <w:highlight w:val="none"/>
        </w:rPr>
        <w:t>商务技术得分为各</w:t>
      </w:r>
      <w:r>
        <w:rPr>
          <w:rFonts w:hint="eastAsia" w:ascii="宋体" w:hAnsi="宋体"/>
          <w:color w:val="auto"/>
          <w:sz w:val="24"/>
          <w:szCs w:val="24"/>
          <w:highlight w:val="none"/>
          <w:lang w:val="en-US" w:eastAsia="zh-CN"/>
        </w:rPr>
        <w:t>磋商小组</w:t>
      </w:r>
      <w:r>
        <w:rPr>
          <w:rFonts w:hint="eastAsia" w:ascii="宋体" w:hAnsi="宋体"/>
          <w:color w:val="auto"/>
          <w:sz w:val="24"/>
          <w:szCs w:val="24"/>
          <w:highlight w:val="none"/>
        </w:rPr>
        <w:t>成员有效评分的算术平均值（小数点后保留二位数）。</w:t>
      </w:r>
    </w:p>
    <w:p>
      <w:pPr>
        <w:spacing w:line="520" w:lineRule="exact"/>
        <w:ind w:firstLine="482" w:firstLineChars="200"/>
        <w:jc w:val="left"/>
        <w:rPr>
          <w:rFonts w:ascii="宋体" w:hAnsi="宋体"/>
          <w:b/>
          <w:color w:val="auto"/>
          <w:sz w:val="24"/>
          <w:szCs w:val="24"/>
          <w:highlight w:val="none"/>
        </w:rPr>
      </w:pPr>
      <w:r>
        <w:rPr>
          <w:rFonts w:hint="eastAsia" w:ascii="宋体" w:hAnsi="宋体"/>
          <w:b/>
          <w:color w:val="auto"/>
          <w:sz w:val="24"/>
          <w:szCs w:val="24"/>
          <w:highlight w:val="none"/>
        </w:rPr>
        <w:t>2.2第二阶段评审</w:t>
      </w:r>
    </w:p>
    <w:p>
      <w:pPr>
        <w:spacing w:line="520" w:lineRule="exact"/>
        <w:ind w:firstLine="480" w:firstLineChars="200"/>
        <w:jc w:val="left"/>
        <w:rPr>
          <w:rFonts w:ascii="宋体" w:hAnsi="宋体"/>
          <w:color w:val="auto"/>
          <w:sz w:val="24"/>
          <w:szCs w:val="24"/>
          <w:highlight w:val="none"/>
        </w:rPr>
      </w:pPr>
      <w:r>
        <w:rPr>
          <w:rFonts w:hint="eastAsia" w:ascii="宋体" w:hAnsi="宋体"/>
          <w:color w:val="auto"/>
          <w:sz w:val="24"/>
          <w:szCs w:val="24"/>
          <w:highlight w:val="none"/>
        </w:rPr>
        <w:t>2.2.</w:t>
      </w:r>
      <w:r>
        <w:rPr>
          <w:rFonts w:hint="eastAsia" w:ascii="宋体" w:hAnsi="宋体"/>
          <w:color w:val="auto"/>
          <w:sz w:val="24"/>
          <w:szCs w:val="24"/>
          <w:highlight w:val="none"/>
          <w:lang w:val="en-US" w:eastAsia="zh-CN"/>
        </w:rPr>
        <w:t>1</w:t>
      </w:r>
      <w:r>
        <w:rPr>
          <w:rFonts w:hint="eastAsia" w:ascii="宋体" w:hAnsi="宋体"/>
          <w:color w:val="auto"/>
          <w:sz w:val="24"/>
          <w:szCs w:val="24"/>
          <w:highlight w:val="none"/>
        </w:rPr>
        <w:t>在评标过程中，发现的价格计算错误按下述原则修正：</w:t>
      </w:r>
    </w:p>
    <w:p>
      <w:pPr>
        <w:spacing w:line="520" w:lineRule="exact"/>
        <w:ind w:firstLine="480" w:firstLineChars="200"/>
        <w:jc w:val="left"/>
        <w:rPr>
          <w:rFonts w:ascii="宋体" w:hAnsi="宋体"/>
          <w:color w:val="auto"/>
          <w:sz w:val="24"/>
          <w:szCs w:val="24"/>
          <w:highlight w:val="none"/>
        </w:rPr>
      </w:pPr>
      <w:r>
        <w:rPr>
          <w:rFonts w:hint="eastAsia" w:ascii="宋体" w:hAnsi="宋体"/>
          <w:color w:val="auto"/>
          <w:sz w:val="24"/>
          <w:szCs w:val="24"/>
          <w:highlight w:val="none"/>
          <w:lang w:val="en-US" w:eastAsia="zh-CN"/>
        </w:rPr>
        <w:t>2.2.1.1响应</w:t>
      </w:r>
      <w:r>
        <w:rPr>
          <w:rFonts w:ascii="宋体" w:hAnsi="宋体"/>
          <w:color w:val="auto"/>
          <w:sz w:val="24"/>
          <w:szCs w:val="24"/>
          <w:highlight w:val="none"/>
        </w:rPr>
        <w:t>文件中开标一览表内容与投标文件中分项报价表内容不一致的，以开标一览表为准；</w:t>
      </w:r>
    </w:p>
    <w:p>
      <w:pPr>
        <w:spacing w:line="520" w:lineRule="exact"/>
        <w:ind w:firstLine="480" w:firstLineChars="200"/>
        <w:jc w:val="left"/>
        <w:rPr>
          <w:rFonts w:ascii="宋体" w:hAnsi="宋体"/>
          <w:color w:val="auto"/>
          <w:sz w:val="24"/>
          <w:szCs w:val="24"/>
          <w:highlight w:val="none"/>
        </w:rPr>
      </w:pPr>
      <w:r>
        <w:rPr>
          <w:rFonts w:hint="eastAsia" w:ascii="宋体" w:hAnsi="宋体"/>
          <w:color w:val="auto"/>
          <w:sz w:val="24"/>
          <w:szCs w:val="24"/>
          <w:highlight w:val="none"/>
          <w:lang w:val="en-US" w:eastAsia="zh-CN"/>
        </w:rPr>
        <w:t>2.2.1.2响应</w:t>
      </w:r>
      <w:r>
        <w:rPr>
          <w:rFonts w:ascii="宋体" w:hAnsi="宋体"/>
          <w:color w:val="auto"/>
          <w:sz w:val="24"/>
          <w:szCs w:val="24"/>
          <w:highlight w:val="none"/>
        </w:rPr>
        <w:t>文件的大写金额和小写金额不一致的，以大写金额为准；</w:t>
      </w:r>
    </w:p>
    <w:p>
      <w:pPr>
        <w:spacing w:line="520" w:lineRule="exact"/>
        <w:ind w:firstLine="480" w:firstLineChars="200"/>
        <w:jc w:val="left"/>
        <w:rPr>
          <w:rFonts w:ascii="宋体" w:hAnsi="宋体"/>
          <w:color w:val="auto"/>
          <w:sz w:val="24"/>
          <w:szCs w:val="24"/>
          <w:highlight w:val="none"/>
        </w:rPr>
      </w:pPr>
      <w:r>
        <w:rPr>
          <w:rFonts w:ascii="宋体" w:hAnsi="宋体"/>
          <w:color w:val="auto"/>
          <w:sz w:val="24"/>
          <w:szCs w:val="24"/>
          <w:highlight w:val="none"/>
        </w:rPr>
        <w:t>同时出现两种不一致的，按照上述顺序修正。修正后的价格若高于投标报价，则中标价以投标报价为准，评标价以修正后的价格为准；修正后的价格若低于投标报价，则中标价以修正后价格为准，评标价以投标报价为准。如</w:t>
      </w:r>
      <w:r>
        <w:rPr>
          <w:rFonts w:hint="eastAsia" w:ascii="宋体" w:hAnsi="宋体"/>
          <w:color w:val="auto"/>
          <w:sz w:val="24"/>
          <w:szCs w:val="24"/>
          <w:highlight w:val="none"/>
        </w:rPr>
        <w:t>投标人</w:t>
      </w:r>
      <w:r>
        <w:rPr>
          <w:rFonts w:ascii="宋体" w:hAnsi="宋体"/>
          <w:color w:val="auto"/>
          <w:sz w:val="24"/>
          <w:szCs w:val="24"/>
          <w:highlight w:val="none"/>
        </w:rPr>
        <w:t>不接受按以上规则确定的评标价和中标价，则其投标将被拒绝。</w:t>
      </w:r>
    </w:p>
    <w:p>
      <w:pPr>
        <w:spacing w:line="520" w:lineRule="exact"/>
        <w:ind w:firstLine="480" w:firstLineChars="200"/>
        <w:jc w:val="left"/>
        <w:rPr>
          <w:rFonts w:ascii="宋体" w:hAnsi="宋体"/>
          <w:color w:val="auto"/>
          <w:sz w:val="24"/>
          <w:szCs w:val="24"/>
          <w:highlight w:val="none"/>
        </w:rPr>
      </w:pPr>
      <w:r>
        <w:rPr>
          <w:rFonts w:hint="eastAsia" w:ascii="宋体" w:hAnsi="宋体"/>
          <w:color w:val="auto"/>
          <w:sz w:val="24"/>
          <w:szCs w:val="24"/>
          <w:highlight w:val="none"/>
        </w:rPr>
        <w:t>2.2.</w:t>
      </w:r>
      <w:r>
        <w:rPr>
          <w:rFonts w:hint="eastAsia" w:ascii="宋体" w:hAnsi="宋体"/>
          <w:color w:val="auto"/>
          <w:sz w:val="24"/>
          <w:szCs w:val="24"/>
          <w:highlight w:val="none"/>
          <w:lang w:val="en-US" w:eastAsia="zh-CN"/>
        </w:rPr>
        <w:t>2磋商小组</w:t>
      </w:r>
      <w:r>
        <w:rPr>
          <w:rFonts w:hint="eastAsia" w:ascii="宋体" w:hAnsi="宋体"/>
          <w:color w:val="auto"/>
          <w:sz w:val="24"/>
          <w:szCs w:val="24"/>
          <w:highlight w:val="none"/>
        </w:rPr>
        <w:t>根据“附表</w:t>
      </w:r>
      <w:r>
        <w:rPr>
          <w:rFonts w:hint="eastAsia" w:ascii="宋体" w:hAnsi="宋体"/>
          <w:color w:val="auto"/>
          <w:sz w:val="24"/>
          <w:szCs w:val="24"/>
          <w:highlight w:val="none"/>
          <w:lang w:val="en-US" w:eastAsia="zh-CN"/>
        </w:rPr>
        <w:t>3</w:t>
      </w:r>
      <w:r>
        <w:rPr>
          <w:rFonts w:hint="eastAsia" w:ascii="宋体" w:hAnsi="宋体"/>
          <w:color w:val="auto"/>
          <w:sz w:val="24"/>
          <w:szCs w:val="24"/>
          <w:highlight w:val="none"/>
        </w:rPr>
        <w:t>价格评分表”的规定，计算投标人报价得分（小数点后保留二位数）。</w:t>
      </w:r>
    </w:p>
    <w:p>
      <w:pPr>
        <w:spacing w:line="520" w:lineRule="exact"/>
        <w:ind w:firstLine="480" w:firstLineChars="200"/>
        <w:jc w:val="left"/>
        <w:rPr>
          <w:rFonts w:ascii="宋体" w:hAnsi="宋体"/>
          <w:color w:val="auto"/>
          <w:sz w:val="24"/>
          <w:szCs w:val="24"/>
          <w:highlight w:val="none"/>
        </w:rPr>
      </w:pPr>
      <w:r>
        <w:rPr>
          <w:rFonts w:hint="eastAsia" w:ascii="宋体" w:hAnsi="宋体"/>
          <w:color w:val="auto"/>
          <w:sz w:val="24"/>
          <w:szCs w:val="24"/>
          <w:highlight w:val="none"/>
        </w:rPr>
        <w:t>2.2.</w:t>
      </w:r>
      <w:r>
        <w:rPr>
          <w:rFonts w:hint="eastAsia" w:ascii="宋体" w:hAnsi="宋体"/>
          <w:color w:val="auto"/>
          <w:sz w:val="24"/>
          <w:szCs w:val="24"/>
          <w:highlight w:val="none"/>
          <w:lang w:val="en-US" w:eastAsia="zh-CN"/>
        </w:rPr>
        <w:t>3</w:t>
      </w:r>
      <w:r>
        <w:rPr>
          <w:rFonts w:ascii="宋体" w:hAnsi="宋体"/>
          <w:color w:val="auto"/>
          <w:sz w:val="24"/>
          <w:szCs w:val="24"/>
          <w:highlight w:val="none"/>
        </w:rPr>
        <w:t>参加采购响应的</w:t>
      </w:r>
      <w:r>
        <w:rPr>
          <w:rFonts w:hint="eastAsia" w:ascii="宋体" w:hAnsi="宋体"/>
          <w:color w:val="auto"/>
          <w:sz w:val="24"/>
          <w:szCs w:val="24"/>
          <w:highlight w:val="none"/>
          <w:lang w:val="en-US" w:eastAsia="zh-CN"/>
        </w:rPr>
        <w:t>响应</w:t>
      </w:r>
      <w:r>
        <w:rPr>
          <w:rFonts w:hint="eastAsia" w:ascii="宋体" w:hAnsi="宋体"/>
          <w:color w:val="auto"/>
          <w:sz w:val="24"/>
          <w:szCs w:val="24"/>
          <w:highlight w:val="none"/>
        </w:rPr>
        <w:t>人</w:t>
      </w:r>
      <w:r>
        <w:rPr>
          <w:rFonts w:ascii="宋体" w:hAnsi="宋体"/>
          <w:color w:val="auto"/>
          <w:sz w:val="24"/>
          <w:szCs w:val="24"/>
          <w:highlight w:val="none"/>
        </w:rPr>
        <w:t>中，有两家或两家以上</w:t>
      </w:r>
      <w:r>
        <w:rPr>
          <w:rFonts w:hint="eastAsia" w:ascii="宋体" w:hAnsi="宋体"/>
          <w:color w:val="auto"/>
          <w:sz w:val="24"/>
          <w:szCs w:val="24"/>
          <w:highlight w:val="none"/>
          <w:lang w:val="en-US" w:eastAsia="zh-CN"/>
        </w:rPr>
        <w:t>响应</w:t>
      </w:r>
      <w:r>
        <w:rPr>
          <w:rFonts w:hint="eastAsia" w:ascii="宋体" w:hAnsi="宋体"/>
          <w:color w:val="auto"/>
          <w:sz w:val="24"/>
          <w:szCs w:val="24"/>
          <w:highlight w:val="none"/>
        </w:rPr>
        <w:t>人</w:t>
      </w:r>
      <w:r>
        <w:rPr>
          <w:rFonts w:ascii="宋体" w:hAnsi="宋体"/>
          <w:color w:val="auto"/>
          <w:sz w:val="24"/>
          <w:szCs w:val="24"/>
          <w:highlight w:val="none"/>
        </w:rPr>
        <w:t>的单位负责人为同一人或者存在直接控股、管理关系的，应当按一个</w:t>
      </w:r>
      <w:r>
        <w:rPr>
          <w:rFonts w:hint="eastAsia" w:ascii="宋体" w:hAnsi="宋体"/>
          <w:color w:val="auto"/>
          <w:sz w:val="24"/>
          <w:szCs w:val="24"/>
          <w:highlight w:val="none"/>
          <w:lang w:val="en-US" w:eastAsia="zh-CN"/>
        </w:rPr>
        <w:t>响应</w:t>
      </w:r>
      <w:r>
        <w:rPr>
          <w:rFonts w:hint="eastAsia" w:ascii="宋体" w:hAnsi="宋体"/>
          <w:color w:val="auto"/>
          <w:sz w:val="24"/>
          <w:szCs w:val="24"/>
          <w:highlight w:val="none"/>
        </w:rPr>
        <w:t>人</w:t>
      </w:r>
      <w:r>
        <w:rPr>
          <w:rFonts w:ascii="宋体" w:hAnsi="宋体"/>
          <w:color w:val="auto"/>
          <w:sz w:val="24"/>
          <w:szCs w:val="24"/>
          <w:highlight w:val="none"/>
        </w:rPr>
        <w:t>认定。评审时，取其中通过资格审查后的报价最低一家为有效</w:t>
      </w:r>
      <w:r>
        <w:rPr>
          <w:rFonts w:hint="eastAsia" w:ascii="宋体" w:hAnsi="宋体"/>
          <w:color w:val="auto"/>
          <w:sz w:val="24"/>
          <w:szCs w:val="24"/>
          <w:highlight w:val="none"/>
          <w:lang w:val="en-US" w:eastAsia="zh-CN"/>
        </w:rPr>
        <w:t>响应</w:t>
      </w:r>
      <w:r>
        <w:rPr>
          <w:rFonts w:hint="eastAsia" w:ascii="宋体" w:hAnsi="宋体"/>
          <w:color w:val="auto"/>
          <w:sz w:val="24"/>
          <w:szCs w:val="24"/>
          <w:highlight w:val="none"/>
        </w:rPr>
        <w:t>人</w:t>
      </w:r>
      <w:r>
        <w:rPr>
          <w:rFonts w:ascii="宋体" w:hAnsi="宋体"/>
          <w:color w:val="auto"/>
          <w:sz w:val="24"/>
          <w:szCs w:val="24"/>
          <w:highlight w:val="none"/>
        </w:rPr>
        <w:t>；当报价相同时，则以</w:t>
      </w:r>
      <w:r>
        <w:rPr>
          <w:rFonts w:hint="eastAsia" w:ascii="宋体" w:hAnsi="宋体"/>
          <w:color w:val="auto"/>
          <w:sz w:val="24"/>
          <w:szCs w:val="24"/>
          <w:highlight w:val="none"/>
        </w:rPr>
        <w:t>商务</w:t>
      </w:r>
      <w:r>
        <w:rPr>
          <w:rFonts w:ascii="宋体" w:hAnsi="宋体"/>
          <w:color w:val="auto"/>
          <w:sz w:val="24"/>
          <w:szCs w:val="24"/>
          <w:highlight w:val="none"/>
        </w:rPr>
        <w:t>技术标最优一家为有效</w:t>
      </w:r>
      <w:r>
        <w:rPr>
          <w:rFonts w:hint="eastAsia" w:ascii="宋体" w:hAnsi="宋体"/>
          <w:color w:val="auto"/>
          <w:sz w:val="24"/>
          <w:szCs w:val="24"/>
          <w:highlight w:val="none"/>
          <w:lang w:val="en-US" w:eastAsia="zh-CN"/>
        </w:rPr>
        <w:t>响应</w:t>
      </w:r>
      <w:r>
        <w:rPr>
          <w:rFonts w:hint="eastAsia" w:ascii="宋体" w:hAnsi="宋体"/>
          <w:color w:val="auto"/>
          <w:sz w:val="24"/>
          <w:szCs w:val="24"/>
          <w:highlight w:val="none"/>
        </w:rPr>
        <w:t>人</w:t>
      </w:r>
      <w:r>
        <w:rPr>
          <w:rFonts w:ascii="宋体" w:hAnsi="宋体"/>
          <w:color w:val="auto"/>
          <w:sz w:val="24"/>
          <w:szCs w:val="24"/>
          <w:highlight w:val="none"/>
        </w:rPr>
        <w:t>；均相同时，由</w:t>
      </w:r>
      <w:r>
        <w:rPr>
          <w:rFonts w:hint="eastAsia" w:ascii="宋体" w:hAnsi="宋体"/>
          <w:color w:val="auto"/>
          <w:sz w:val="24"/>
          <w:szCs w:val="24"/>
          <w:highlight w:val="none"/>
          <w:lang w:val="en-US" w:eastAsia="zh-CN"/>
        </w:rPr>
        <w:t>磋商小组</w:t>
      </w:r>
      <w:r>
        <w:rPr>
          <w:rFonts w:ascii="宋体" w:hAnsi="宋体"/>
          <w:color w:val="auto"/>
          <w:sz w:val="24"/>
          <w:szCs w:val="24"/>
          <w:highlight w:val="none"/>
        </w:rPr>
        <w:t>集体决定，并以书面记录</w:t>
      </w:r>
      <w:r>
        <w:rPr>
          <w:rFonts w:hint="eastAsia" w:ascii="宋体" w:hAnsi="宋体"/>
          <w:color w:val="auto"/>
          <w:sz w:val="24"/>
          <w:szCs w:val="24"/>
          <w:highlight w:val="none"/>
          <w:lang w:val="en-US" w:eastAsia="zh-CN"/>
        </w:rPr>
        <w:t>磋商小组</w:t>
      </w:r>
      <w:r>
        <w:rPr>
          <w:rFonts w:ascii="宋体" w:hAnsi="宋体"/>
          <w:color w:val="auto"/>
          <w:sz w:val="24"/>
          <w:szCs w:val="24"/>
          <w:highlight w:val="none"/>
        </w:rPr>
        <w:t>的决定理由。</w:t>
      </w:r>
    </w:p>
    <w:p>
      <w:pPr>
        <w:spacing w:line="520" w:lineRule="exact"/>
        <w:ind w:firstLine="480" w:firstLineChars="200"/>
        <w:jc w:val="left"/>
        <w:rPr>
          <w:rFonts w:ascii="宋体" w:hAnsi="宋体"/>
          <w:color w:val="auto"/>
          <w:sz w:val="24"/>
          <w:szCs w:val="24"/>
          <w:highlight w:val="none"/>
        </w:rPr>
      </w:pPr>
      <w:r>
        <w:rPr>
          <w:rFonts w:hint="eastAsia" w:ascii="宋体" w:hAnsi="宋体"/>
          <w:color w:val="auto"/>
          <w:sz w:val="24"/>
          <w:szCs w:val="24"/>
          <w:highlight w:val="none"/>
        </w:rPr>
        <w:t>2.2.</w:t>
      </w:r>
      <w:r>
        <w:rPr>
          <w:rFonts w:hint="eastAsia" w:ascii="宋体" w:hAnsi="宋体"/>
          <w:color w:val="auto"/>
          <w:sz w:val="24"/>
          <w:szCs w:val="24"/>
          <w:highlight w:val="none"/>
          <w:lang w:val="en-US" w:eastAsia="zh-CN"/>
        </w:rPr>
        <w:t>4</w:t>
      </w:r>
      <w:r>
        <w:rPr>
          <w:rFonts w:hint="eastAsia" w:ascii="宋体" w:hAnsi="宋体"/>
          <w:color w:val="auto"/>
          <w:sz w:val="24"/>
          <w:szCs w:val="24"/>
          <w:highlight w:val="none"/>
        </w:rPr>
        <w:t>综合评估：</w:t>
      </w:r>
      <w:r>
        <w:rPr>
          <w:rFonts w:hint="eastAsia" w:ascii="宋体" w:hAnsi="宋体"/>
          <w:color w:val="auto"/>
          <w:sz w:val="24"/>
          <w:szCs w:val="24"/>
          <w:highlight w:val="none"/>
          <w:lang w:val="en-US" w:eastAsia="zh-CN"/>
        </w:rPr>
        <w:t>响应</w:t>
      </w:r>
      <w:r>
        <w:rPr>
          <w:rFonts w:hint="eastAsia" w:ascii="宋体" w:hAnsi="宋体"/>
          <w:color w:val="auto"/>
          <w:sz w:val="24"/>
          <w:szCs w:val="24"/>
          <w:highlight w:val="none"/>
        </w:rPr>
        <w:t>人的综合得分为商务技术得分与报价得分之和。</w:t>
      </w:r>
    </w:p>
    <w:p>
      <w:pPr>
        <w:spacing w:line="520" w:lineRule="exact"/>
        <w:ind w:firstLine="480" w:firstLineChars="200"/>
        <w:jc w:val="left"/>
        <w:rPr>
          <w:rFonts w:ascii="宋体" w:hAnsi="宋体"/>
          <w:color w:val="auto"/>
          <w:sz w:val="24"/>
          <w:szCs w:val="24"/>
          <w:highlight w:val="none"/>
        </w:rPr>
      </w:pPr>
      <w:r>
        <w:rPr>
          <w:rFonts w:hint="eastAsia" w:ascii="宋体" w:hAnsi="宋体"/>
          <w:color w:val="auto"/>
          <w:sz w:val="24"/>
          <w:szCs w:val="24"/>
          <w:highlight w:val="none"/>
        </w:rPr>
        <w:t>2.2.</w:t>
      </w: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推荐中标候选人：</w:t>
      </w:r>
      <w:r>
        <w:rPr>
          <w:rFonts w:hint="eastAsia" w:ascii="宋体" w:hAnsi="宋体" w:cs="Arial"/>
          <w:color w:val="auto"/>
          <w:sz w:val="24"/>
          <w:szCs w:val="24"/>
          <w:highlight w:val="none"/>
        </w:rPr>
        <w:t>按综合得分由高到底进行排序，推荐综合得分排序第一的投标人为中标候选人，</w:t>
      </w:r>
      <w:r>
        <w:rPr>
          <w:rFonts w:hint="eastAsia" w:ascii="宋体" w:hAnsi="宋体"/>
          <w:color w:val="auto"/>
          <w:sz w:val="24"/>
          <w:szCs w:val="24"/>
          <w:highlight w:val="none"/>
        </w:rPr>
        <w:t>若投标人的综合得分相等，则投标报价低者列前；若投标报价也相同时，采取随机抽签的方式确定排序。</w:t>
      </w:r>
    </w:p>
    <w:p>
      <w:pPr>
        <w:spacing w:line="520" w:lineRule="exact"/>
        <w:ind w:firstLine="482" w:firstLineChars="200"/>
        <w:jc w:val="left"/>
        <w:rPr>
          <w:rFonts w:ascii="宋体" w:hAnsi="宋体"/>
          <w:b/>
          <w:color w:val="auto"/>
          <w:sz w:val="24"/>
          <w:szCs w:val="24"/>
          <w:highlight w:val="none"/>
        </w:rPr>
      </w:pPr>
      <w:r>
        <w:rPr>
          <w:rFonts w:hint="eastAsia" w:ascii="宋体" w:hAnsi="宋体"/>
          <w:b/>
          <w:color w:val="auto"/>
          <w:sz w:val="24"/>
          <w:szCs w:val="24"/>
          <w:highlight w:val="none"/>
        </w:rPr>
        <w:t>2.3确定中标投标人</w:t>
      </w:r>
    </w:p>
    <w:p>
      <w:pPr>
        <w:spacing w:line="520" w:lineRule="exact"/>
        <w:ind w:firstLine="480" w:firstLineChars="200"/>
        <w:jc w:val="left"/>
        <w:rPr>
          <w:rFonts w:ascii="宋体" w:hAnsi="宋体"/>
          <w:color w:val="auto"/>
          <w:sz w:val="24"/>
          <w:szCs w:val="24"/>
          <w:highlight w:val="none"/>
        </w:rPr>
      </w:pPr>
      <w:r>
        <w:rPr>
          <w:rFonts w:hint="eastAsia" w:ascii="宋体" w:hAnsi="宋体"/>
          <w:color w:val="auto"/>
          <w:sz w:val="24"/>
          <w:szCs w:val="24"/>
          <w:highlight w:val="none"/>
          <w:lang w:val="en-US" w:eastAsia="zh-CN"/>
        </w:rPr>
        <w:t>磋商小组</w:t>
      </w:r>
      <w:r>
        <w:rPr>
          <w:rFonts w:hint="eastAsia" w:ascii="宋体" w:hAnsi="宋体"/>
          <w:color w:val="auto"/>
          <w:sz w:val="24"/>
          <w:szCs w:val="24"/>
          <w:highlight w:val="none"/>
        </w:rPr>
        <w:t>按综合得分由高到低排序，</w:t>
      </w:r>
      <w:r>
        <w:rPr>
          <w:rFonts w:hint="eastAsia" w:ascii="宋体" w:hAnsi="宋体" w:cs="Arial"/>
          <w:color w:val="auto"/>
          <w:sz w:val="24"/>
          <w:szCs w:val="24"/>
          <w:highlight w:val="none"/>
        </w:rPr>
        <w:t>按综合得分由高到底进行排序，推荐综合得分排序第一的投标人为中标候选人</w:t>
      </w:r>
      <w:r>
        <w:rPr>
          <w:rFonts w:ascii="宋体" w:hAnsi="宋体"/>
          <w:color w:val="auto"/>
          <w:sz w:val="24"/>
          <w:szCs w:val="24"/>
          <w:highlight w:val="none"/>
        </w:rPr>
        <w:t>。采购人应当</w:t>
      </w:r>
      <w:r>
        <w:rPr>
          <w:rFonts w:hint="eastAsia" w:ascii="宋体" w:hAnsi="宋体"/>
          <w:color w:val="auto"/>
          <w:sz w:val="24"/>
          <w:szCs w:val="24"/>
          <w:highlight w:val="none"/>
          <w:lang w:val="en-US" w:eastAsia="zh-CN"/>
        </w:rPr>
        <w:t>评审结束5</w:t>
      </w:r>
      <w:r>
        <w:rPr>
          <w:rFonts w:ascii="宋体" w:hAnsi="宋体"/>
          <w:color w:val="auto"/>
          <w:sz w:val="24"/>
          <w:szCs w:val="24"/>
          <w:highlight w:val="none"/>
        </w:rPr>
        <w:t>个工作日内按顺序确定中标</w:t>
      </w:r>
      <w:r>
        <w:rPr>
          <w:rFonts w:hint="eastAsia" w:ascii="宋体" w:hAnsi="宋体"/>
          <w:color w:val="auto"/>
          <w:sz w:val="24"/>
          <w:szCs w:val="24"/>
          <w:highlight w:val="none"/>
        </w:rPr>
        <w:t>投标人</w:t>
      </w:r>
      <w:r>
        <w:rPr>
          <w:rFonts w:ascii="宋体" w:hAnsi="宋体"/>
          <w:color w:val="auto"/>
          <w:sz w:val="24"/>
          <w:szCs w:val="24"/>
          <w:highlight w:val="none"/>
        </w:rPr>
        <w:t>。</w:t>
      </w:r>
      <w:r>
        <w:rPr>
          <w:rFonts w:hint="eastAsia" w:ascii="宋体" w:hAnsi="宋体"/>
          <w:color w:val="auto"/>
          <w:sz w:val="24"/>
          <w:szCs w:val="24"/>
          <w:highlight w:val="none"/>
        </w:rPr>
        <w:t>中标人因不可抗力或者自身原因不能履行政府采购合同的，采购人将重新招标。</w:t>
      </w:r>
    </w:p>
    <w:p>
      <w:pPr>
        <w:spacing w:line="520" w:lineRule="exact"/>
        <w:ind w:firstLine="482" w:firstLineChars="200"/>
        <w:rPr>
          <w:rFonts w:ascii="宋体" w:hAnsi="宋体"/>
          <w:b/>
          <w:color w:val="auto"/>
          <w:sz w:val="24"/>
          <w:szCs w:val="24"/>
          <w:highlight w:val="none"/>
        </w:rPr>
      </w:pPr>
      <w:r>
        <w:rPr>
          <w:rFonts w:hint="eastAsia" w:ascii="宋体" w:hAnsi="宋体"/>
          <w:b/>
          <w:color w:val="auto"/>
          <w:sz w:val="24"/>
          <w:szCs w:val="24"/>
          <w:highlight w:val="none"/>
        </w:rPr>
        <w:t>三、投标的澄清</w:t>
      </w:r>
    </w:p>
    <w:p>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3.1对</w:t>
      </w:r>
      <w:r>
        <w:rPr>
          <w:rFonts w:hint="eastAsia" w:ascii="宋体" w:hAnsi="宋体"/>
          <w:color w:val="auto"/>
          <w:sz w:val="24"/>
          <w:szCs w:val="24"/>
          <w:highlight w:val="none"/>
          <w:lang w:val="en-US" w:eastAsia="zh-CN"/>
        </w:rPr>
        <w:t>响应</w:t>
      </w:r>
      <w:r>
        <w:rPr>
          <w:rFonts w:hint="eastAsia" w:ascii="宋体" w:hAnsi="宋体"/>
          <w:color w:val="auto"/>
          <w:sz w:val="24"/>
          <w:szCs w:val="24"/>
          <w:highlight w:val="none"/>
        </w:rPr>
        <w:t>文件审查中发现的</w:t>
      </w:r>
      <w:r>
        <w:rPr>
          <w:rFonts w:hint="eastAsia" w:ascii="宋体" w:hAnsi="宋体"/>
          <w:color w:val="auto"/>
          <w:sz w:val="24"/>
          <w:szCs w:val="24"/>
          <w:highlight w:val="none"/>
          <w:lang w:val="en-US" w:eastAsia="zh-CN"/>
        </w:rPr>
        <w:t>响应</w:t>
      </w:r>
      <w:r>
        <w:rPr>
          <w:rFonts w:hint="eastAsia" w:ascii="宋体" w:hAnsi="宋体"/>
          <w:color w:val="auto"/>
          <w:sz w:val="24"/>
          <w:szCs w:val="24"/>
          <w:highlight w:val="none"/>
        </w:rPr>
        <w:t>文件表达含义不明确、同类问题表述不一致或者有明显文字和计算错误的内容，</w:t>
      </w:r>
      <w:r>
        <w:rPr>
          <w:rFonts w:hint="eastAsia" w:ascii="宋体" w:hAnsi="宋体"/>
          <w:color w:val="auto"/>
          <w:sz w:val="24"/>
          <w:szCs w:val="24"/>
          <w:highlight w:val="none"/>
          <w:lang w:val="en-US" w:eastAsia="zh-CN"/>
        </w:rPr>
        <w:t>磋商小组</w:t>
      </w:r>
      <w:r>
        <w:rPr>
          <w:rFonts w:hint="eastAsia" w:ascii="宋体" w:hAnsi="宋体"/>
          <w:color w:val="auto"/>
          <w:sz w:val="24"/>
          <w:szCs w:val="24"/>
          <w:highlight w:val="none"/>
        </w:rPr>
        <w:t>可通过询标，要求</w:t>
      </w:r>
      <w:r>
        <w:rPr>
          <w:rFonts w:hint="eastAsia" w:ascii="宋体" w:hAnsi="宋体"/>
          <w:color w:val="auto"/>
          <w:sz w:val="24"/>
          <w:szCs w:val="24"/>
          <w:highlight w:val="none"/>
          <w:lang w:val="en-US" w:eastAsia="zh-CN"/>
        </w:rPr>
        <w:t>响应</w:t>
      </w:r>
      <w:r>
        <w:rPr>
          <w:rFonts w:hint="eastAsia" w:ascii="宋体" w:hAnsi="宋体"/>
          <w:color w:val="auto"/>
          <w:sz w:val="24"/>
          <w:szCs w:val="24"/>
          <w:highlight w:val="none"/>
        </w:rPr>
        <w:t>人做出澄清。</w:t>
      </w:r>
      <w:r>
        <w:rPr>
          <w:rFonts w:hint="eastAsia" w:ascii="宋体" w:hAnsi="宋体"/>
          <w:color w:val="auto"/>
          <w:sz w:val="24"/>
          <w:szCs w:val="24"/>
          <w:highlight w:val="none"/>
          <w:lang w:val="en-US" w:eastAsia="zh-CN"/>
        </w:rPr>
        <w:t>响应</w:t>
      </w:r>
      <w:r>
        <w:rPr>
          <w:rFonts w:hint="eastAsia" w:ascii="宋体" w:hAnsi="宋体"/>
          <w:color w:val="auto"/>
          <w:sz w:val="24"/>
          <w:szCs w:val="24"/>
          <w:highlight w:val="none"/>
        </w:rPr>
        <w:t>人必须按照</w:t>
      </w:r>
      <w:r>
        <w:rPr>
          <w:rFonts w:hint="eastAsia" w:ascii="宋体" w:hAnsi="宋体"/>
          <w:color w:val="auto"/>
          <w:sz w:val="24"/>
          <w:szCs w:val="24"/>
          <w:highlight w:val="none"/>
          <w:lang w:val="en-US" w:eastAsia="zh-CN"/>
        </w:rPr>
        <w:t>采购人</w:t>
      </w:r>
      <w:r>
        <w:rPr>
          <w:rFonts w:hint="eastAsia" w:ascii="宋体" w:hAnsi="宋体"/>
          <w:color w:val="auto"/>
          <w:sz w:val="24"/>
          <w:szCs w:val="24"/>
          <w:highlight w:val="none"/>
        </w:rPr>
        <w:t>通知的时间、地点派技术和商务人员进行答疑和澄清。</w:t>
      </w:r>
    </w:p>
    <w:p>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3.2</w:t>
      </w:r>
      <w:r>
        <w:rPr>
          <w:rFonts w:hint="eastAsia" w:ascii="宋体" w:hAnsi="宋体"/>
          <w:color w:val="auto"/>
          <w:sz w:val="24"/>
          <w:szCs w:val="24"/>
          <w:highlight w:val="none"/>
          <w:lang w:val="en-US" w:eastAsia="zh-CN"/>
        </w:rPr>
        <w:t>响应</w:t>
      </w:r>
      <w:r>
        <w:rPr>
          <w:rFonts w:hint="eastAsia" w:ascii="宋体" w:hAnsi="宋体"/>
          <w:color w:val="auto"/>
          <w:sz w:val="24"/>
          <w:szCs w:val="24"/>
          <w:highlight w:val="none"/>
        </w:rPr>
        <w:t>人应对需要澄清的问题作书面回答，该书面回答应有投标人</w:t>
      </w:r>
      <w:r>
        <w:rPr>
          <w:rFonts w:ascii="宋体" w:hAnsi="宋体"/>
          <w:color w:val="auto"/>
          <w:sz w:val="24"/>
          <w:szCs w:val="24"/>
          <w:highlight w:val="none"/>
        </w:rPr>
        <w:t>法定代表人或其委托代理人</w:t>
      </w:r>
      <w:r>
        <w:rPr>
          <w:rFonts w:hint="eastAsia" w:ascii="宋体" w:hAnsi="宋体"/>
          <w:color w:val="auto"/>
          <w:sz w:val="24"/>
          <w:szCs w:val="24"/>
          <w:highlight w:val="none"/>
        </w:rPr>
        <w:t>的签字，书面澄清将作为投标内容的一部分。</w:t>
      </w:r>
    </w:p>
    <w:p>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3.3</w:t>
      </w:r>
      <w:r>
        <w:rPr>
          <w:rFonts w:hint="eastAsia" w:ascii="宋体" w:hAnsi="宋体"/>
          <w:color w:val="auto"/>
          <w:sz w:val="24"/>
          <w:szCs w:val="24"/>
          <w:highlight w:val="none"/>
          <w:lang w:val="en-US" w:eastAsia="zh-CN"/>
        </w:rPr>
        <w:t>响应</w:t>
      </w:r>
      <w:r>
        <w:rPr>
          <w:rFonts w:hint="eastAsia" w:ascii="宋体" w:hAnsi="宋体"/>
          <w:color w:val="auto"/>
          <w:sz w:val="24"/>
          <w:szCs w:val="24"/>
          <w:highlight w:val="none"/>
        </w:rPr>
        <w:t>人对</w:t>
      </w:r>
      <w:r>
        <w:rPr>
          <w:rFonts w:hint="eastAsia" w:ascii="宋体" w:hAnsi="宋体"/>
          <w:color w:val="auto"/>
          <w:sz w:val="24"/>
          <w:szCs w:val="24"/>
          <w:highlight w:val="none"/>
          <w:lang w:val="en-US" w:eastAsia="zh-CN"/>
        </w:rPr>
        <w:t>响应</w:t>
      </w:r>
      <w:r>
        <w:rPr>
          <w:rFonts w:hint="eastAsia" w:ascii="宋体" w:hAnsi="宋体"/>
          <w:color w:val="auto"/>
          <w:sz w:val="24"/>
          <w:szCs w:val="24"/>
          <w:highlight w:val="none"/>
        </w:rPr>
        <w:t>文件的澄清不得超出</w:t>
      </w:r>
      <w:r>
        <w:rPr>
          <w:rFonts w:hint="eastAsia" w:ascii="宋体" w:hAnsi="宋体"/>
          <w:color w:val="auto"/>
          <w:sz w:val="24"/>
          <w:szCs w:val="24"/>
          <w:highlight w:val="none"/>
          <w:lang w:val="en-US" w:eastAsia="zh-CN"/>
        </w:rPr>
        <w:t>响应</w:t>
      </w:r>
      <w:r>
        <w:rPr>
          <w:rFonts w:hint="eastAsia" w:ascii="宋体" w:hAnsi="宋体"/>
          <w:color w:val="auto"/>
          <w:sz w:val="24"/>
          <w:szCs w:val="24"/>
          <w:highlight w:val="none"/>
        </w:rPr>
        <w:t>文件的范围或改变投标价格等</w:t>
      </w:r>
      <w:r>
        <w:rPr>
          <w:rFonts w:hint="eastAsia" w:ascii="宋体" w:hAnsi="宋体"/>
          <w:color w:val="auto"/>
          <w:sz w:val="24"/>
          <w:szCs w:val="24"/>
          <w:highlight w:val="none"/>
          <w:lang w:val="en-US" w:eastAsia="zh-CN"/>
        </w:rPr>
        <w:t>响应</w:t>
      </w:r>
      <w:r>
        <w:rPr>
          <w:rFonts w:hint="eastAsia" w:ascii="宋体" w:hAnsi="宋体"/>
          <w:color w:val="auto"/>
          <w:sz w:val="24"/>
          <w:szCs w:val="24"/>
          <w:highlight w:val="none"/>
        </w:rPr>
        <w:t>文件的实质性内容。</w:t>
      </w:r>
    </w:p>
    <w:p>
      <w:pPr>
        <w:spacing w:line="520" w:lineRule="exact"/>
        <w:ind w:firstLine="480" w:firstLineChars="200"/>
        <w:jc w:val="left"/>
        <w:rPr>
          <w:rFonts w:ascii="宋体" w:hAnsi="宋体"/>
          <w:color w:val="auto"/>
          <w:sz w:val="24"/>
          <w:szCs w:val="24"/>
          <w:highlight w:val="none"/>
        </w:rPr>
      </w:pPr>
      <w:r>
        <w:rPr>
          <w:rFonts w:hint="eastAsia" w:ascii="宋体" w:hAnsi="宋体"/>
          <w:color w:val="auto"/>
          <w:sz w:val="24"/>
          <w:szCs w:val="24"/>
          <w:highlight w:val="none"/>
        </w:rPr>
        <w:t>3.4若</w:t>
      </w:r>
      <w:r>
        <w:rPr>
          <w:rFonts w:hint="eastAsia" w:ascii="宋体" w:hAnsi="宋体"/>
          <w:color w:val="auto"/>
          <w:sz w:val="24"/>
          <w:szCs w:val="24"/>
          <w:highlight w:val="none"/>
          <w:lang w:val="en-US" w:eastAsia="zh-CN"/>
        </w:rPr>
        <w:t>响应</w:t>
      </w:r>
      <w:r>
        <w:rPr>
          <w:rFonts w:hint="eastAsia" w:ascii="宋体" w:hAnsi="宋体"/>
          <w:color w:val="auto"/>
          <w:sz w:val="24"/>
          <w:szCs w:val="24"/>
          <w:highlight w:val="none"/>
        </w:rPr>
        <w:t>人未响应澄清安排的通知到场进行答疑和澄清，将被视作自动放弃。</w:t>
      </w:r>
    </w:p>
    <w:p>
      <w:pPr>
        <w:spacing w:line="520" w:lineRule="exact"/>
        <w:ind w:firstLine="482" w:firstLineChars="200"/>
        <w:rPr>
          <w:rFonts w:ascii="宋体" w:hAnsi="宋体"/>
          <w:color w:val="auto"/>
          <w:sz w:val="24"/>
          <w:szCs w:val="24"/>
          <w:highlight w:val="none"/>
        </w:rPr>
      </w:pPr>
      <w:r>
        <w:rPr>
          <w:rFonts w:hint="eastAsia" w:ascii="宋体" w:hAnsi="宋体"/>
          <w:b/>
          <w:color w:val="auto"/>
          <w:sz w:val="24"/>
          <w:szCs w:val="24"/>
          <w:highlight w:val="none"/>
        </w:rPr>
        <w:t>四、特别声明：价格是评标的重要因素之一，但最低价不是中标的唯一依据。</w:t>
      </w:r>
    </w:p>
    <w:p>
      <w:pPr>
        <w:spacing w:line="520" w:lineRule="exact"/>
        <w:ind w:firstLine="482" w:firstLineChars="200"/>
        <w:rPr>
          <w:rFonts w:ascii="宋体" w:hAnsi="宋体"/>
          <w:b/>
          <w:color w:val="auto"/>
          <w:sz w:val="24"/>
          <w:szCs w:val="24"/>
          <w:highlight w:val="none"/>
        </w:rPr>
      </w:pPr>
      <w:r>
        <w:rPr>
          <w:rFonts w:hint="eastAsia" w:ascii="宋体" w:hAnsi="宋体"/>
          <w:b/>
          <w:color w:val="auto"/>
          <w:sz w:val="24"/>
          <w:szCs w:val="24"/>
          <w:highlight w:val="none"/>
        </w:rPr>
        <w:t>五、重新招标</w:t>
      </w:r>
    </w:p>
    <w:p>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有下列情形之一的，采购人将重新招标：</w:t>
      </w:r>
    </w:p>
    <w:p>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5.1投标截止时间止，</w:t>
      </w:r>
      <w:r>
        <w:rPr>
          <w:rFonts w:hint="eastAsia" w:ascii="宋体" w:hAnsi="宋体"/>
          <w:color w:val="auto"/>
          <w:sz w:val="24"/>
          <w:szCs w:val="24"/>
          <w:highlight w:val="none"/>
          <w:lang w:val="en-US" w:eastAsia="zh-CN"/>
        </w:rPr>
        <w:t>响应</w:t>
      </w:r>
      <w:r>
        <w:rPr>
          <w:rFonts w:hint="eastAsia" w:ascii="宋体" w:hAnsi="宋体"/>
          <w:color w:val="auto"/>
          <w:sz w:val="24"/>
          <w:szCs w:val="24"/>
          <w:highlight w:val="none"/>
        </w:rPr>
        <w:t>人少于3个的；</w:t>
      </w:r>
    </w:p>
    <w:p>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5.2</w:t>
      </w:r>
      <w:r>
        <w:rPr>
          <w:rFonts w:hint="eastAsia" w:ascii="宋体" w:hAnsi="宋体"/>
          <w:color w:val="auto"/>
          <w:sz w:val="24"/>
          <w:szCs w:val="24"/>
          <w:highlight w:val="none"/>
          <w:lang w:val="en-US" w:eastAsia="zh-CN"/>
        </w:rPr>
        <w:t>磋商小组</w:t>
      </w:r>
      <w:r>
        <w:rPr>
          <w:rFonts w:hint="eastAsia" w:ascii="宋体" w:hAnsi="宋体"/>
          <w:color w:val="auto"/>
          <w:sz w:val="24"/>
          <w:szCs w:val="24"/>
          <w:highlight w:val="none"/>
        </w:rPr>
        <w:t>评标过程中，有效</w:t>
      </w:r>
      <w:r>
        <w:rPr>
          <w:rFonts w:hint="eastAsia" w:ascii="宋体" w:hAnsi="宋体"/>
          <w:color w:val="auto"/>
          <w:sz w:val="24"/>
          <w:szCs w:val="24"/>
          <w:highlight w:val="none"/>
          <w:lang w:val="en-US" w:eastAsia="zh-CN"/>
        </w:rPr>
        <w:t>响应</w:t>
      </w:r>
      <w:r>
        <w:rPr>
          <w:rFonts w:hint="eastAsia" w:ascii="宋体" w:hAnsi="宋体"/>
          <w:color w:val="auto"/>
          <w:sz w:val="24"/>
          <w:szCs w:val="24"/>
          <w:highlight w:val="none"/>
        </w:rPr>
        <w:t>人少于3个的；</w:t>
      </w:r>
    </w:p>
    <w:p>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5.3</w:t>
      </w:r>
      <w:r>
        <w:rPr>
          <w:rFonts w:hint="eastAsia" w:ascii="宋体" w:hAnsi="宋体"/>
          <w:color w:val="auto"/>
          <w:sz w:val="24"/>
          <w:szCs w:val="24"/>
          <w:highlight w:val="none"/>
          <w:lang w:val="en-US" w:eastAsia="zh-CN"/>
        </w:rPr>
        <w:t>磋商小组</w:t>
      </w:r>
      <w:r>
        <w:rPr>
          <w:rFonts w:hint="eastAsia" w:ascii="宋体" w:hAnsi="宋体"/>
          <w:color w:val="auto"/>
          <w:sz w:val="24"/>
          <w:szCs w:val="24"/>
          <w:highlight w:val="none"/>
        </w:rPr>
        <w:t>发现</w:t>
      </w:r>
      <w:r>
        <w:rPr>
          <w:rFonts w:hint="eastAsia" w:ascii="宋体" w:hAnsi="宋体"/>
          <w:color w:val="auto"/>
          <w:sz w:val="24"/>
          <w:szCs w:val="24"/>
          <w:highlight w:val="none"/>
          <w:lang w:val="en-US" w:eastAsia="zh-CN"/>
        </w:rPr>
        <w:t>响应</w:t>
      </w:r>
      <w:r>
        <w:rPr>
          <w:rFonts w:hint="eastAsia" w:ascii="宋体" w:hAnsi="宋体"/>
          <w:color w:val="auto"/>
          <w:sz w:val="24"/>
          <w:szCs w:val="24"/>
          <w:highlight w:val="none"/>
        </w:rPr>
        <w:t>文件存在歧义、重大缺陷导致评标工作无法进行，或者</w:t>
      </w:r>
      <w:r>
        <w:rPr>
          <w:rFonts w:hint="eastAsia" w:ascii="宋体" w:hAnsi="宋体"/>
          <w:color w:val="auto"/>
          <w:sz w:val="24"/>
          <w:szCs w:val="24"/>
          <w:highlight w:val="none"/>
          <w:lang w:val="en-US" w:eastAsia="zh-CN"/>
        </w:rPr>
        <w:t>响应</w:t>
      </w:r>
      <w:r>
        <w:rPr>
          <w:rFonts w:hint="eastAsia" w:ascii="宋体" w:hAnsi="宋体"/>
          <w:color w:val="auto"/>
          <w:sz w:val="24"/>
          <w:szCs w:val="24"/>
          <w:highlight w:val="none"/>
        </w:rPr>
        <w:t>文件内容违反国家有关强制性规定的，应当停止评标工作，与采购人或者采购代理机构沟通并作书面记录。采购人或者采购代理机构确认后，应当修改</w:t>
      </w:r>
      <w:r>
        <w:rPr>
          <w:rFonts w:hint="eastAsia" w:ascii="宋体" w:hAnsi="宋体"/>
          <w:color w:val="auto"/>
          <w:sz w:val="24"/>
          <w:szCs w:val="24"/>
          <w:highlight w:val="none"/>
          <w:lang w:val="en-US" w:eastAsia="zh-CN"/>
        </w:rPr>
        <w:t>磋商</w:t>
      </w:r>
      <w:r>
        <w:rPr>
          <w:rFonts w:hint="eastAsia" w:ascii="宋体" w:hAnsi="宋体"/>
          <w:color w:val="auto"/>
          <w:sz w:val="24"/>
          <w:szCs w:val="24"/>
          <w:highlight w:val="none"/>
        </w:rPr>
        <w:t>文件，重新组织</w:t>
      </w:r>
      <w:r>
        <w:rPr>
          <w:rFonts w:hint="eastAsia" w:ascii="宋体" w:hAnsi="宋体"/>
          <w:color w:val="auto"/>
          <w:sz w:val="24"/>
          <w:szCs w:val="24"/>
          <w:highlight w:val="none"/>
          <w:lang w:val="en-US" w:eastAsia="zh-CN"/>
        </w:rPr>
        <w:t>磋商</w:t>
      </w:r>
      <w:r>
        <w:rPr>
          <w:rFonts w:hint="eastAsia" w:ascii="宋体" w:hAnsi="宋体"/>
          <w:color w:val="auto"/>
          <w:sz w:val="24"/>
          <w:szCs w:val="24"/>
          <w:highlight w:val="none"/>
        </w:rPr>
        <w:t>活动。</w:t>
      </w:r>
    </w:p>
    <w:p>
      <w:pPr>
        <w:spacing w:line="520" w:lineRule="exact"/>
        <w:ind w:firstLine="482" w:firstLineChars="200"/>
        <w:rPr>
          <w:rFonts w:ascii="宋体" w:hAnsi="宋体"/>
          <w:color w:val="auto"/>
          <w:sz w:val="24"/>
          <w:szCs w:val="24"/>
          <w:highlight w:val="none"/>
        </w:rPr>
      </w:pPr>
      <w:r>
        <w:rPr>
          <w:rFonts w:hint="eastAsia" w:ascii="宋体" w:hAnsi="宋体"/>
          <w:b/>
          <w:bCs/>
          <w:color w:val="auto"/>
          <w:sz w:val="24"/>
          <w:szCs w:val="24"/>
          <w:highlight w:val="none"/>
        </w:rPr>
        <w:t>六、</w:t>
      </w:r>
      <w:r>
        <w:rPr>
          <w:rFonts w:hint="eastAsia" w:ascii="宋体" w:hAnsi="宋体"/>
          <w:color w:val="auto"/>
          <w:sz w:val="24"/>
          <w:szCs w:val="24"/>
          <w:highlight w:val="none"/>
        </w:rPr>
        <w:t>因5.1条重新招标，至投标截止时间投标人仍少于3个的，经主管部门同意可采用竞争性谈判或单一来源采购方式。</w:t>
      </w:r>
    </w:p>
    <w:p>
      <w:pPr>
        <w:widowControl/>
        <w:jc w:val="left"/>
        <w:rPr>
          <w:rFonts w:ascii="宋体" w:hAnsi="宋体"/>
          <w:b/>
          <w:color w:val="auto"/>
          <w:sz w:val="24"/>
          <w:szCs w:val="24"/>
          <w:highlight w:val="none"/>
        </w:rPr>
      </w:pPr>
      <w:r>
        <w:rPr>
          <w:rFonts w:hint="eastAsia" w:ascii="宋体" w:hAnsi="宋体"/>
          <w:b/>
          <w:color w:val="auto"/>
          <w:sz w:val="24"/>
          <w:szCs w:val="24"/>
          <w:highlight w:val="none"/>
        </w:rPr>
        <w:br w:type="page"/>
      </w:r>
    </w:p>
    <w:p>
      <w:pPr>
        <w:widowControl/>
        <w:snapToGrid w:val="0"/>
        <w:spacing w:line="520" w:lineRule="exact"/>
        <w:jc w:val="left"/>
        <w:rPr>
          <w:rFonts w:hint="eastAsia" w:ascii="宋体" w:hAnsi="宋体"/>
          <w:b/>
          <w:color w:val="auto"/>
          <w:sz w:val="24"/>
          <w:szCs w:val="24"/>
          <w:highlight w:val="none"/>
        </w:rPr>
      </w:pPr>
      <w:r>
        <w:rPr>
          <w:rFonts w:hint="eastAsia" w:ascii="宋体" w:hAnsi="宋体"/>
          <w:b/>
          <w:color w:val="auto"/>
          <w:sz w:val="24"/>
          <w:szCs w:val="24"/>
          <w:highlight w:val="none"/>
        </w:rPr>
        <w:t>附表1                       资格性审查表</w:t>
      </w:r>
    </w:p>
    <w:tbl>
      <w:tblPr>
        <w:tblStyle w:val="33"/>
        <w:tblpPr w:leftFromText="180" w:rightFromText="180" w:vertAnchor="text" w:horzAnchor="page" w:tblpX="1590" w:tblpY="320"/>
        <w:tblOverlap w:val="never"/>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9"/>
        <w:gridCol w:w="6705"/>
        <w:gridCol w:w="14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16" w:hRule="atLeast"/>
        </w:trPr>
        <w:tc>
          <w:tcPr>
            <w:tcW w:w="839" w:type="dxa"/>
            <w:vAlign w:val="center"/>
          </w:tcPr>
          <w:p>
            <w:pPr>
              <w:spacing w:line="520" w:lineRule="exact"/>
              <w:jc w:val="center"/>
              <w:rPr>
                <w:rFonts w:hint="eastAsia" w:ascii="宋体" w:hAnsi="宋体"/>
                <w:b/>
                <w:color w:val="auto"/>
                <w:sz w:val="24"/>
                <w:szCs w:val="24"/>
                <w:highlight w:val="none"/>
              </w:rPr>
            </w:pPr>
            <w:r>
              <w:rPr>
                <w:rFonts w:hint="eastAsia" w:ascii="宋体" w:hAnsi="宋体"/>
                <w:b/>
                <w:color w:val="auto"/>
                <w:sz w:val="24"/>
                <w:szCs w:val="24"/>
                <w:highlight w:val="none"/>
              </w:rPr>
              <w:t>序号</w:t>
            </w:r>
          </w:p>
        </w:tc>
        <w:tc>
          <w:tcPr>
            <w:tcW w:w="6705" w:type="dxa"/>
            <w:tcBorders>
              <w:tl2br w:val="single" w:color="auto" w:sz="4" w:space="0"/>
            </w:tcBorders>
            <w:vAlign w:val="center"/>
          </w:tcPr>
          <w:p>
            <w:pPr>
              <w:spacing w:line="520" w:lineRule="exact"/>
              <w:jc w:val="center"/>
              <w:rPr>
                <w:rFonts w:hint="eastAsia" w:ascii="宋体" w:hAnsi="宋体"/>
                <w:b/>
                <w:color w:val="auto"/>
                <w:sz w:val="24"/>
                <w:szCs w:val="24"/>
                <w:highlight w:val="none"/>
              </w:rPr>
            </w:pPr>
            <w:r>
              <w:rPr>
                <w:rFonts w:hint="eastAsia" w:ascii="宋体" w:hAnsi="宋体"/>
                <w:b/>
                <w:color w:val="auto"/>
                <w:sz w:val="24"/>
                <w:szCs w:val="24"/>
                <w:highlight w:val="none"/>
              </w:rPr>
              <w:t>响应人</w:t>
            </w:r>
          </w:p>
          <w:p>
            <w:pPr>
              <w:spacing w:line="520" w:lineRule="exact"/>
              <w:jc w:val="center"/>
              <w:rPr>
                <w:rFonts w:hint="eastAsia" w:ascii="宋体" w:hAnsi="宋体"/>
                <w:b/>
                <w:color w:val="auto"/>
                <w:sz w:val="24"/>
                <w:szCs w:val="24"/>
                <w:highlight w:val="none"/>
              </w:rPr>
            </w:pPr>
            <w:r>
              <w:rPr>
                <w:rFonts w:hint="eastAsia" w:ascii="宋体" w:hAnsi="宋体"/>
                <w:b/>
                <w:color w:val="auto"/>
                <w:sz w:val="24"/>
                <w:szCs w:val="24"/>
                <w:highlight w:val="none"/>
              </w:rPr>
              <w:t>内容</w:t>
            </w:r>
          </w:p>
        </w:tc>
        <w:tc>
          <w:tcPr>
            <w:tcW w:w="1454" w:type="dxa"/>
            <w:vAlign w:val="center"/>
          </w:tcPr>
          <w:p>
            <w:pPr>
              <w:spacing w:line="520" w:lineRule="exact"/>
              <w:jc w:val="center"/>
              <w:rPr>
                <w:rFonts w:hint="eastAsia" w:ascii="宋体" w:hAnsi="宋体"/>
                <w:b/>
                <w:color w:val="auto"/>
                <w:sz w:val="24"/>
                <w:szCs w:val="24"/>
                <w:highlight w:val="none"/>
              </w:rPr>
            </w:pPr>
            <w:r>
              <w:rPr>
                <w:rFonts w:hint="eastAsia" w:ascii="宋体" w:hAnsi="宋体"/>
                <w:b/>
                <w:color w:val="auto"/>
                <w:sz w:val="24"/>
                <w:szCs w:val="24"/>
                <w:highlight w:val="none"/>
              </w:rPr>
              <w:t>审核标准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7" w:hRule="atLeast"/>
        </w:trPr>
        <w:tc>
          <w:tcPr>
            <w:tcW w:w="839" w:type="dxa"/>
            <w:vAlign w:val="center"/>
          </w:tcPr>
          <w:p>
            <w:pPr>
              <w:spacing w:line="520" w:lineRule="exact"/>
              <w:jc w:val="center"/>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1</w:t>
            </w:r>
          </w:p>
        </w:tc>
        <w:tc>
          <w:tcPr>
            <w:tcW w:w="6705" w:type="dxa"/>
            <w:vAlign w:val="center"/>
          </w:tcPr>
          <w:p>
            <w:pPr>
              <w:spacing w:line="520" w:lineRule="exact"/>
              <w:jc w:val="both"/>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投标函</w:t>
            </w:r>
          </w:p>
        </w:tc>
        <w:tc>
          <w:tcPr>
            <w:tcW w:w="1454" w:type="dxa"/>
            <w:vAlign w:val="center"/>
          </w:tcPr>
          <w:p>
            <w:pPr>
              <w:spacing w:line="360" w:lineRule="auto"/>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7" w:hRule="atLeast"/>
        </w:trPr>
        <w:tc>
          <w:tcPr>
            <w:tcW w:w="839" w:type="dxa"/>
            <w:vAlign w:val="center"/>
          </w:tcPr>
          <w:p>
            <w:pPr>
              <w:spacing w:line="520" w:lineRule="exact"/>
              <w:jc w:val="center"/>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2</w:t>
            </w:r>
          </w:p>
        </w:tc>
        <w:tc>
          <w:tcPr>
            <w:tcW w:w="6705" w:type="dxa"/>
            <w:vAlign w:val="center"/>
          </w:tcPr>
          <w:p>
            <w:pPr>
              <w:spacing w:line="520" w:lineRule="exact"/>
              <w:jc w:val="both"/>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满足《中华人民共和国政府采购法》第二十二条规定</w:t>
            </w:r>
          </w:p>
        </w:tc>
        <w:tc>
          <w:tcPr>
            <w:tcW w:w="1454" w:type="dxa"/>
            <w:vAlign w:val="center"/>
          </w:tcPr>
          <w:p>
            <w:pPr>
              <w:spacing w:line="360" w:lineRule="auto"/>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7" w:hRule="atLeast"/>
        </w:trPr>
        <w:tc>
          <w:tcPr>
            <w:tcW w:w="839" w:type="dxa"/>
            <w:vAlign w:val="center"/>
          </w:tcPr>
          <w:p>
            <w:pPr>
              <w:spacing w:line="520" w:lineRule="exact"/>
              <w:jc w:val="center"/>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3</w:t>
            </w:r>
          </w:p>
        </w:tc>
        <w:tc>
          <w:tcPr>
            <w:tcW w:w="6705" w:type="dxa"/>
            <w:vAlign w:val="center"/>
          </w:tcPr>
          <w:p>
            <w:pPr>
              <w:spacing w:line="520" w:lineRule="exact"/>
              <w:jc w:val="both"/>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提供自采购公告发布之日起至投标截止日内任意时间的“信用中国”网站（www.creditchina.gov.cn）、中国政府采购网（www.ccgp.gov.cn）投标人信用查询的各网页截图，缺一不可</w:t>
            </w:r>
          </w:p>
        </w:tc>
        <w:tc>
          <w:tcPr>
            <w:tcW w:w="1454" w:type="dxa"/>
            <w:vAlign w:val="center"/>
          </w:tcPr>
          <w:p>
            <w:pPr>
              <w:spacing w:line="360" w:lineRule="auto"/>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7" w:hRule="atLeast"/>
        </w:trPr>
        <w:tc>
          <w:tcPr>
            <w:tcW w:w="839" w:type="dxa"/>
            <w:vAlign w:val="center"/>
          </w:tcPr>
          <w:p>
            <w:pPr>
              <w:spacing w:line="520" w:lineRule="exact"/>
              <w:jc w:val="center"/>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4</w:t>
            </w:r>
          </w:p>
        </w:tc>
        <w:tc>
          <w:tcPr>
            <w:tcW w:w="6705" w:type="dxa"/>
            <w:vAlign w:val="center"/>
          </w:tcPr>
          <w:p>
            <w:pPr>
              <w:spacing w:line="520" w:lineRule="exact"/>
              <w:jc w:val="both"/>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法定代表人身份证复印件</w:t>
            </w:r>
          </w:p>
        </w:tc>
        <w:tc>
          <w:tcPr>
            <w:tcW w:w="1454" w:type="dxa"/>
            <w:vAlign w:val="center"/>
          </w:tcPr>
          <w:p>
            <w:pPr>
              <w:spacing w:line="360" w:lineRule="auto"/>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5" w:hRule="atLeast"/>
        </w:trPr>
        <w:tc>
          <w:tcPr>
            <w:tcW w:w="8998" w:type="dxa"/>
            <w:gridSpan w:val="3"/>
            <w:vAlign w:val="center"/>
          </w:tcPr>
          <w:p>
            <w:pPr>
              <w:spacing w:line="360" w:lineRule="auto"/>
              <w:jc w:val="both"/>
              <w:rPr>
                <w:rFonts w:hint="eastAsia" w:ascii="宋体" w:hAnsi="宋体" w:cs="宋体"/>
                <w:szCs w:val="21"/>
              </w:rPr>
            </w:pPr>
            <w:r>
              <w:rPr>
                <w:rFonts w:hint="eastAsia" w:ascii="宋体" w:hAnsi="宋体" w:cs="宋体"/>
                <w:b/>
                <w:sz w:val="24"/>
              </w:rPr>
              <w:t>非法定代表人参加投标时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7" w:hRule="atLeast"/>
        </w:trPr>
        <w:tc>
          <w:tcPr>
            <w:tcW w:w="839" w:type="dxa"/>
            <w:vAlign w:val="center"/>
          </w:tcPr>
          <w:p>
            <w:pPr>
              <w:spacing w:line="520" w:lineRule="exact"/>
              <w:jc w:val="center"/>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5</w:t>
            </w:r>
          </w:p>
        </w:tc>
        <w:tc>
          <w:tcPr>
            <w:tcW w:w="6705" w:type="dxa"/>
            <w:vAlign w:val="center"/>
          </w:tcPr>
          <w:p>
            <w:pPr>
              <w:spacing w:line="520" w:lineRule="exact"/>
              <w:jc w:val="both"/>
              <w:rPr>
                <w:rFonts w:hint="eastAsia" w:ascii="宋体" w:hAnsi="宋体"/>
                <w:color w:val="auto"/>
                <w:sz w:val="24"/>
                <w:szCs w:val="24"/>
                <w:highlight w:val="none"/>
              </w:rPr>
            </w:pPr>
            <w:r>
              <w:rPr>
                <w:rFonts w:hint="eastAsia" w:ascii="宋体" w:hAnsi="宋体"/>
                <w:color w:val="auto"/>
                <w:sz w:val="24"/>
                <w:szCs w:val="24"/>
                <w:highlight w:val="none"/>
                <w:lang w:val="zh-CN"/>
              </w:rPr>
              <w:t>《法定代表人授权函》原件</w:t>
            </w:r>
          </w:p>
        </w:tc>
        <w:tc>
          <w:tcPr>
            <w:tcW w:w="1454" w:type="dxa"/>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7" w:hRule="atLeast"/>
        </w:trPr>
        <w:tc>
          <w:tcPr>
            <w:tcW w:w="839" w:type="dxa"/>
            <w:vAlign w:val="center"/>
          </w:tcPr>
          <w:p>
            <w:pPr>
              <w:spacing w:line="520" w:lineRule="exact"/>
              <w:jc w:val="center"/>
              <w:rPr>
                <w:rFonts w:hint="default" w:ascii="宋体" w:hAnsi="宋体"/>
                <w:color w:val="auto"/>
                <w:sz w:val="24"/>
                <w:szCs w:val="24"/>
                <w:highlight w:val="none"/>
                <w:lang w:val="en-US" w:eastAsia="zh-CN"/>
              </w:rPr>
            </w:pPr>
            <w:r>
              <w:rPr>
                <w:rFonts w:hint="eastAsia" w:ascii="宋体" w:hAnsi="宋体"/>
                <w:color w:val="auto"/>
                <w:sz w:val="24"/>
                <w:szCs w:val="24"/>
                <w:highlight w:val="none"/>
                <w:lang w:val="en-US" w:eastAsia="zh-CN"/>
              </w:rPr>
              <w:t>6</w:t>
            </w:r>
          </w:p>
        </w:tc>
        <w:tc>
          <w:tcPr>
            <w:tcW w:w="6705" w:type="dxa"/>
            <w:vAlign w:val="center"/>
          </w:tcPr>
          <w:p>
            <w:pPr>
              <w:spacing w:line="520" w:lineRule="exact"/>
              <w:jc w:val="both"/>
              <w:rPr>
                <w:rFonts w:hint="eastAsia" w:ascii="宋体" w:hAnsi="宋体"/>
                <w:color w:val="auto"/>
                <w:sz w:val="24"/>
                <w:szCs w:val="24"/>
                <w:highlight w:val="none"/>
              </w:rPr>
            </w:pPr>
            <w:r>
              <w:rPr>
                <w:rFonts w:hint="eastAsia" w:ascii="宋体" w:hAnsi="宋体"/>
                <w:color w:val="auto"/>
                <w:sz w:val="24"/>
                <w:szCs w:val="24"/>
                <w:highlight w:val="none"/>
                <w:lang w:val="zh-CN"/>
              </w:rPr>
              <w:t>投标人代表身份证复印件</w:t>
            </w:r>
          </w:p>
        </w:tc>
        <w:tc>
          <w:tcPr>
            <w:tcW w:w="1454" w:type="dxa"/>
            <w:vAlign w:val="center"/>
          </w:tcPr>
          <w:p>
            <w:pPr>
              <w:spacing w:line="360" w:lineRule="auto"/>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5" w:hRule="atLeast"/>
        </w:trPr>
        <w:tc>
          <w:tcPr>
            <w:tcW w:w="7544" w:type="dxa"/>
            <w:gridSpan w:val="2"/>
            <w:vAlign w:val="center"/>
          </w:tcPr>
          <w:p>
            <w:pPr>
              <w:spacing w:line="336" w:lineRule="auto"/>
              <w:jc w:val="center"/>
              <w:rPr>
                <w:rFonts w:hint="eastAsia" w:ascii="宋体" w:hAnsi="宋体" w:cs="宋体"/>
                <w:b/>
                <w:szCs w:val="21"/>
              </w:rPr>
            </w:pPr>
            <w:r>
              <w:rPr>
                <w:rFonts w:hint="eastAsia" w:ascii="宋体" w:hAnsi="宋体" w:cs="宋体"/>
                <w:b/>
                <w:szCs w:val="21"/>
              </w:rPr>
              <w:t>结   论</w:t>
            </w:r>
          </w:p>
        </w:tc>
        <w:tc>
          <w:tcPr>
            <w:tcW w:w="1454" w:type="dxa"/>
            <w:vAlign w:val="center"/>
          </w:tcPr>
          <w:p>
            <w:pPr>
              <w:spacing w:line="336" w:lineRule="auto"/>
              <w:ind w:left="180"/>
              <w:jc w:val="center"/>
              <w:rPr>
                <w:rFonts w:hint="eastAsia" w:ascii="宋体" w:hAnsi="宋体" w:cs="宋体"/>
                <w:b/>
                <w:szCs w:val="21"/>
              </w:rPr>
            </w:pPr>
          </w:p>
        </w:tc>
      </w:tr>
    </w:tbl>
    <w:p>
      <w:pPr>
        <w:pStyle w:val="35"/>
      </w:pPr>
    </w:p>
    <w:p>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注：</w:t>
      </w:r>
      <w:r>
        <w:rPr>
          <w:rFonts w:hint="eastAsia" w:ascii="宋体" w:hAnsi="宋体"/>
          <w:color w:val="auto"/>
          <w:sz w:val="24"/>
          <w:szCs w:val="24"/>
          <w:highlight w:val="none"/>
          <w:lang w:val="zh-CN"/>
        </w:rPr>
        <w:t>1、表中只需填写“√”或“×”；2、在结论栏中填写“合格”或“不合格”。</w:t>
      </w:r>
    </w:p>
    <w:p>
      <w:pPr>
        <w:rPr>
          <w:rFonts w:ascii="宋体" w:hAnsi="宋体"/>
          <w:color w:val="auto"/>
          <w:sz w:val="24"/>
          <w:szCs w:val="24"/>
          <w:highlight w:val="none"/>
        </w:rPr>
      </w:pPr>
      <w:r>
        <w:rPr>
          <w:rFonts w:ascii="宋体" w:hAnsi="宋体"/>
          <w:color w:val="auto"/>
          <w:sz w:val="24"/>
          <w:szCs w:val="24"/>
          <w:highlight w:val="none"/>
        </w:rPr>
        <w:br w:type="page"/>
      </w:r>
    </w:p>
    <w:p>
      <w:pPr>
        <w:spacing w:line="240" w:lineRule="auto"/>
        <w:jc w:val="left"/>
        <w:rPr>
          <w:rFonts w:hint="eastAsia" w:ascii="宋体" w:hAnsi="宋体"/>
          <w:color w:val="auto"/>
          <w:sz w:val="24"/>
          <w:szCs w:val="24"/>
          <w:highlight w:val="none"/>
          <w:lang w:val="zh-CN"/>
        </w:rPr>
      </w:pPr>
    </w:p>
    <w:p>
      <w:pPr>
        <w:spacing w:line="240" w:lineRule="auto"/>
        <w:jc w:val="left"/>
        <w:rPr>
          <w:rFonts w:hint="eastAsia" w:ascii="宋体" w:hAnsi="宋体"/>
          <w:color w:val="auto"/>
          <w:sz w:val="24"/>
          <w:szCs w:val="24"/>
          <w:highlight w:val="none"/>
          <w:lang w:val="zh-CN"/>
        </w:rPr>
      </w:pPr>
      <w:r>
        <w:rPr>
          <w:rFonts w:hint="eastAsia" w:ascii="宋体" w:hAnsi="宋体"/>
          <w:color w:val="auto"/>
          <w:sz w:val="24"/>
          <w:szCs w:val="24"/>
          <w:highlight w:val="none"/>
          <w:lang w:val="zh-CN"/>
        </w:rPr>
        <w:t>附表</w:t>
      </w:r>
      <w:r>
        <w:rPr>
          <w:rFonts w:hint="eastAsia" w:ascii="宋体" w:hAnsi="宋体"/>
          <w:color w:val="auto"/>
          <w:sz w:val="24"/>
          <w:szCs w:val="24"/>
          <w:highlight w:val="none"/>
          <w:lang w:val="en-US" w:eastAsia="zh-CN"/>
        </w:rPr>
        <w:t>2</w:t>
      </w:r>
      <w:r>
        <w:rPr>
          <w:rFonts w:hint="eastAsia" w:ascii="宋体" w:hAnsi="宋体"/>
          <w:color w:val="auto"/>
          <w:sz w:val="24"/>
          <w:szCs w:val="24"/>
          <w:highlight w:val="none"/>
          <w:lang w:val="zh-CN"/>
        </w:rPr>
        <w:t>：商务技术评分表70分</w:t>
      </w:r>
    </w:p>
    <w:tbl>
      <w:tblPr>
        <w:tblStyle w:val="33"/>
        <w:tblpPr w:leftFromText="180" w:rightFromText="180" w:vertAnchor="text" w:horzAnchor="page" w:tblpX="1331" w:tblpY="595"/>
        <w:tblW w:w="944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9"/>
        <w:gridCol w:w="1196"/>
        <w:gridCol w:w="6695"/>
        <w:gridCol w:w="7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8" w:hRule="atLeast"/>
          <w:jc w:val="center"/>
        </w:trPr>
        <w:tc>
          <w:tcPr>
            <w:tcW w:w="809" w:type="dxa"/>
            <w:vAlign w:val="center"/>
          </w:tcPr>
          <w:p>
            <w:pPr>
              <w:spacing w:line="240" w:lineRule="auto"/>
              <w:jc w:val="center"/>
              <w:outlineLvl w:val="0"/>
              <w:rPr>
                <w:rFonts w:ascii="宋体" w:hAnsi="宋体" w:cs="仿宋_GB2312"/>
                <w:bCs/>
                <w:color w:val="auto"/>
                <w:sz w:val="24"/>
                <w:szCs w:val="24"/>
                <w:highlight w:val="none"/>
              </w:rPr>
            </w:pPr>
            <w:r>
              <w:rPr>
                <w:rFonts w:hint="eastAsia" w:ascii="宋体" w:hAnsi="宋体" w:cs="仿宋_GB2312"/>
                <w:bCs/>
                <w:color w:val="auto"/>
                <w:sz w:val="24"/>
                <w:szCs w:val="24"/>
                <w:highlight w:val="none"/>
              </w:rPr>
              <w:t>序号</w:t>
            </w:r>
          </w:p>
        </w:tc>
        <w:tc>
          <w:tcPr>
            <w:tcW w:w="1196" w:type="dxa"/>
            <w:vAlign w:val="center"/>
          </w:tcPr>
          <w:p>
            <w:pPr>
              <w:spacing w:line="240" w:lineRule="auto"/>
              <w:jc w:val="center"/>
              <w:outlineLvl w:val="0"/>
              <w:rPr>
                <w:rFonts w:ascii="宋体" w:hAnsi="宋体" w:cs="仿宋_GB2312"/>
                <w:bCs/>
                <w:color w:val="auto"/>
                <w:sz w:val="24"/>
                <w:szCs w:val="24"/>
                <w:highlight w:val="none"/>
              </w:rPr>
            </w:pPr>
            <w:r>
              <w:rPr>
                <w:rFonts w:hint="eastAsia" w:ascii="宋体" w:hAnsi="宋体" w:cs="仿宋_GB2312"/>
                <w:bCs/>
                <w:color w:val="auto"/>
                <w:sz w:val="24"/>
                <w:szCs w:val="24"/>
                <w:highlight w:val="none"/>
              </w:rPr>
              <w:t>评分项</w:t>
            </w:r>
          </w:p>
        </w:tc>
        <w:tc>
          <w:tcPr>
            <w:tcW w:w="6695" w:type="dxa"/>
            <w:vAlign w:val="center"/>
          </w:tcPr>
          <w:p>
            <w:pPr>
              <w:spacing w:line="240" w:lineRule="auto"/>
              <w:jc w:val="left"/>
              <w:outlineLvl w:val="0"/>
              <w:rPr>
                <w:rFonts w:ascii="宋体" w:hAnsi="宋体" w:cs="仿宋_GB2312"/>
                <w:bCs/>
                <w:color w:val="auto"/>
                <w:sz w:val="24"/>
                <w:szCs w:val="24"/>
                <w:highlight w:val="none"/>
              </w:rPr>
            </w:pPr>
            <w:r>
              <w:rPr>
                <w:rFonts w:hint="eastAsia" w:ascii="宋体" w:hAnsi="宋体" w:cs="仿宋_GB2312"/>
                <w:bCs/>
                <w:color w:val="auto"/>
                <w:sz w:val="24"/>
                <w:szCs w:val="24"/>
                <w:highlight w:val="none"/>
              </w:rPr>
              <w:t>评标标准</w:t>
            </w:r>
          </w:p>
        </w:tc>
        <w:tc>
          <w:tcPr>
            <w:tcW w:w="742" w:type="dxa"/>
            <w:vAlign w:val="center"/>
          </w:tcPr>
          <w:p>
            <w:pPr>
              <w:spacing w:line="240" w:lineRule="auto"/>
              <w:jc w:val="center"/>
              <w:outlineLvl w:val="0"/>
              <w:rPr>
                <w:rFonts w:ascii="宋体" w:hAnsi="宋体" w:cs="仿宋_GB2312"/>
                <w:bCs/>
                <w:color w:val="auto"/>
                <w:sz w:val="24"/>
                <w:szCs w:val="24"/>
                <w:highlight w:val="none"/>
              </w:rPr>
            </w:pPr>
            <w:r>
              <w:rPr>
                <w:rFonts w:hint="eastAsia" w:ascii="宋体" w:hAnsi="宋体" w:cs="仿宋_GB2312"/>
                <w:bCs/>
                <w:color w:val="auto"/>
                <w:sz w:val="24"/>
                <w:szCs w:val="24"/>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4" w:hRule="atLeast"/>
          <w:jc w:val="center"/>
        </w:trPr>
        <w:tc>
          <w:tcPr>
            <w:tcW w:w="809"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96" w:type="dxa"/>
            <w:vAlign w:val="center"/>
          </w:tcPr>
          <w:p>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企业实力</w:t>
            </w:r>
          </w:p>
        </w:tc>
        <w:tc>
          <w:tcPr>
            <w:tcW w:w="6695" w:type="dxa"/>
            <w:vAlign w:val="center"/>
          </w:tcPr>
          <w:p>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eastAsia="zh-CN"/>
              </w:rPr>
              <w:t>具备在医院或类似医疗设施中实现碳中和目标的技术能力和实际服务经验；参与过与零碳相关的标准制定工作</w:t>
            </w:r>
            <w:r>
              <w:rPr>
                <w:rFonts w:hint="eastAsia" w:ascii="宋体" w:hAnsi="宋体" w:eastAsia="宋体" w:cs="宋体"/>
                <w:color w:val="auto"/>
                <w:sz w:val="24"/>
                <w:szCs w:val="24"/>
                <w:highlight w:val="none"/>
                <w:lang w:val="en-US" w:eastAsia="zh-CN"/>
              </w:rPr>
              <w:t>和</w:t>
            </w:r>
            <w:r>
              <w:rPr>
                <w:rFonts w:hint="eastAsia" w:ascii="宋体" w:hAnsi="宋体" w:eastAsia="宋体" w:cs="宋体"/>
                <w:color w:val="auto"/>
                <w:sz w:val="24"/>
                <w:szCs w:val="24"/>
                <w:highlight w:val="none"/>
                <w:lang w:eastAsia="zh-CN"/>
              </w:rPr>
              <w:t>在零碳技术、产品和服务方面的研发能力和创新能力。</w:t>
            </w:r>
          </w:p>
          <w:p>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得分依据：</w:t>
            </w:r>
          </w:p>
          <w:p>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bookmarkStart w:id="8" w:name="OLE_LINK23"/>
            <w:r>
              <w:rPr>
                <w:rFonts w:hint="eastAsia" w:ascii="宋体" w:hAnsi="宋体" w:eastAsia="宋体" w:cs="宋体"/>
                <w:color w:val="auto"/>
                <w:sz w:val="24"/>
                <w:szCs w:val="24"/>
                <w:highlight w:val="none"/>
                <w:lang w:eastAsia="zh-CN"/>
              </w:rPr>
              <w:t>参与零碳相关标准制定</w:t>
            </w:r>
            <w:bookmarkEnd w:id="8"/>
            <w:r>
              <w:rPr>
                <w:rFonts w:hint="eastAsia" w:ascii="宋体" w:hAnsi="宋体" w:eastAsia="宋体" w:cs="宋体"/>
                <w:color w:val="auto"/>
                <w:sz w:val="24"/>
                <w:szCs w:val="24"/>
                <w:highlight w:val="none"/>
                <w:lang w:eastAsia="zh-CN"/>
              </w:rPr>
              <w:t>：一个</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分，上限</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分。</w:t>
            </w:r>
          </w:p>
          <w:p>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参与零碳园区行业标准制定：参与制定</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分，未参加不得分。</w:t>
            </w:r>
          </w:p>
        </w:tc>
        <w:tc>
          <w:tcPr>
            <w:tcW w:w="742"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outlineLvl w:val="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5" w:hRule="atLeast"/>
          <w:jc w:val="center"/>
        </w:trPr>
        <w:tc>
          <w:tcPr>
            <w:tcW w:w="809"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96"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类似业绩</w:t>
            </w:r>
          </w:p>
        </w:tc>
        <w:tc>
          <w:tcPr>
            <w:tcW w:w="6695" w:type="dxa"/>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cs="宋体"/>
                <w:color w:val="auto"/>
                <w:kern w:val="0"/>
                <w:sz w:val="24"/>
                <w:szCs w:val="24"/>
                <w:highlight w:val="none"/>
                <w:lang w:val="en-US" w:eastAsia="zh-CN"/>
              </w:rPr>
            </w:pPr>
            <w:bookmarkStart w:id="9" w:name="OLE_LINK6"/>
            <w:r>
              <w:rPr>
                <w:rFonts w:hint="eastAsia" w:ascii="宋体" w:hAnsi="宋体" w:cs="宋体"/>
                <w:color w:val="auto"/>
                <w:kern w:val="0"/>
                <w:sz w:val="24"/>
                <w:szCs w:val="24"/>
                <w:highlight w:val="none"/>
                <w:lang w:val="en-US" w:eastAsia="zh-CN"/>
              </w:rPr>
              <w:t>供应商</w:t>
            </w:r>
            <w:r>
              <w:rPr>
                <w:rFonts w:hint="eastAsia" w:ascii="宋体" w:hAnsi="宋体" w:eastAsia="宋体" w:cs="宋体"/>
                <w:color w:val="auto"/>
                <w:kern w:val="0"/>
                <w:sz w:val="24"/>
                <w:szCs w:val="24"/>
                <w:highlight w:val="none"/>
                <w:lang w:eastAsia="zh-CN"/>
              </w:rPr>
              <w:t>近</w:t>
            </w:r>
            <w:r>
              <w:rPr>
                <w:rFonts w:hint="eastAsia" w:ascii="宋体" w:hAnsi="宋体" w:eastAsia="宋体" w:cs="宋体"/>
                <w:color w:val="auto"/>
                <w:kern w:val="0"/>
                <w:sz w:val="24"/>
                <w:szCs w:val="24"/>
                <w:highlight w:val="none"/>
                <w:lang w:val="en-US" w:eastAsia="zh-CN"/>
              </w:rPr>
              <w:t>3年（</w:t>
            </w:r>
            <w:r>
              <w:rPr>
                <w:rFonts w:hint="eastAsia" w:ascii="宋体" w:hAnsi="宋体" w:eastAsia="宋体" w:cs="宋体"/>
                <w:color w:val="auto"/>
                <w:kern w:val="0"/>
                <w:sz w:val="24"/>
                <w:szCs w:val="24"/>
                <w:highlight w:val="none"/>
              </w:rPr>
              <w:t>20</w:t>
            </w:r>
            <w:r>
              <w:rPr>
                <w:rFonts w:hint="eastAsia" w:ascii="宋体" w:hAnsi="宋体" w:eastAsia="宋体" w:cs="宋体"/>
                <w:color w:val="auto"/>
                <w:kern w:val="0"/>
                <w:sz w:val="24"/>
                <w:szCs w:val="24"/>
                <w:highlight w:val="none"/>
                <w:lang w:val="en-US" w:eastAsia="zh-CN"/>
              </w:rPr>
              <w:t>2</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eastAsia="zh-CN"/>
              </w:rPr>
              <w:t>以来</w:t>
            </w:r>
            <w:r>
              <w:rPr>
                <w:rFonts w:hint="eastAsia" w:ascii="宋体" w:hAnsi="宋体" w:eastAsia="宋体" w:cs="宋体"/>
                <w:color w:val="auto"/>
                <w:kern w:val="0"/>
                <w:sz w:val="24"/>
                <w:szCs w:val="24"/>
                <w:highlight w:val="none"/>
                <w:lang w:val="en-US" w:eastAsia="zh-CN"/>
              </w:rPr>
              <w:t>）承担过的同类项目业绩证明</w:t>
            </w:r>
            <w:r>
              <w:rPr>
                <w:rFonts w:hint="eastAsia" w:ascii="宋体" w:hAnsi="宋体" w:eastAsia="宋体" w:cs="宋体"/>
                <w:color w:val="auto"/>
                <w:kern w:val="0"/>
                <w:sz w:val="24"/>
                <w:szCs w:val="24"/>
                <w:highlight w:val="none"/>
              </w:rPr>
              <w:t>（以合同签订日期为准）</w:t>
            </w:r>
            <w:r>
              <w:rPr>
                <w:rFonts w:hint="eastAsia" w:ascii="宋体" w:hAnsi="宋体" w:cs="宋体"/>
                <w:color w:val="auto"/>
                <w:kern w:val="0"/>
                <w:sz w:val="24"/>
                <w:szCs w:val="24"/>
                <w:highlight w:val="none"/>
                <w:lang w:val="en-US" w:eastAsia="zh-CN"/>
              </w:rPr>
              <w:t>：</w:t>
            </w:r>
          </w:p>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光伏案例：一个项目</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eastAsia="zh-CN"/>
              </w:rPr>
              <w:t>分，上限</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eastAsia="zh-CN"/>
              </w:rPr>
              <w:t>分。</w:t>
            </w:r>
          </w:p>
          <w:bookmarkEnd w:id="9"/>
          <w:p>
            <w:pPr>
              <w:keepNext w:val="0"/>
              <w:keepLines w:val="0"/>
              <w:pageBreakBefore w:val="0"/>
              <w:kinsoku/>
              <w:wordWrap/>
              <w:overflowPunct/>
              <w:topLinePunct w:val="0"/>
              <w:autoSpaceDE/>
              <w:autoSpaceDN/>
              <w:bidi w:val="0"/>
              <w:adjustRightInd/>
              <w:snapToGrid/>
              <w:spacing w:line="240" w:lineRule="auto"/>
              <w:jc w:val="left"/>
              <w:textAlignment w:val="auto"/>
              <w:outlineLvl w:val="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注：业绩证明须同时提供中标通知书和采购合同复印件并加盖公章，原件备查，不提供则不得分。</w:t>
            </w:r>
          </w:p>
        </w:tc>
        <w:tc>
          <w:tcPr>
            <w:tcW w:w="742"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outlineLvl w:val="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jc w:val="center"/>
        </w:trPr>
        <w:tc>
          <w:tcPr>
            <w:tcW w:w="809" w:type="dxa"/>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96" w:type="dxa"/>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outlineLvl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运营期限</w:t>
            </w:r>
          </w:p>
        </w:tc>
        <w:tc>
          <w:tcPr>
            <w:tcW w:w="6695" w:type="dxa"/>
            <w:vAlign w:val="center"/>
          </w:tcPr>
          <w:p>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eastAsia="zh-CN"/>
              </w:rPr>
              <w:t>合同期限以</w:t>
            </w:r>
            <w:r>
              <w:rPr>
                <w:rFonts w:hint="eastAsia" w:ascii="宋体" w:hAnsi="宋体" w:eastAsia="宋体" w:cs="宋体"/>
                <w:color w:val="auto"/>
                <w:sz w:val="24"/>
                <w:szCs w:val="24"/>
                <w:highlight w:val="none"/>
                <w:lang w:val="en-US" w:eastAsia="zh-CN"/>
              </w:rPr>
              <w:t>2</w:t>
            </w:r>
            <w:r>
              <w:rPr>
                <w:rFonts w:hint="eastAsia" w:ascii="宋体" w:hAnsi="宋体" w:cs="宋体"/>
                <w:color w:val="auto"/>
                <w:sz w:val="24"/>
                <w:szCs w:val="24"/>
                <w:highlight w:val="none"/>
                <w:lang w:val="en-US" w:eastAsia="zh-CN"/>
              </w:rPr>
              <w:t>0</w:t>
            </w:r>
            <w:r>
              <w:rPr>
                <w:rFonts w:hint="eastAsia" w:ascii="宋体" w:hAnsi="宋体" w:eastAsia="宋体" w:cs="宋体"/>
                <w:color w:val="auto"/>
                <w:sz w:val="24"/>
                <w:szCs w:val="24"/>
                <w:highlight w:val="none"/>
                <w:lang w:val="en-US" w:eastAsia="zh-CN"/>
              </w:rPr>
              <w:t>年为最高限制，</w:t>
            </w:r>
            <w:r>
              <w:rPr>
                <w:rFonts w:hint="eastAsia" w:ascii="宋体" w:hAnsi="宋体" w:eastAsia="宋体" w:cs="宋体"/>
                <w:color w:val="auto"/>
                <w:sz w:val="24"/>
                <w:szCs w:val="24"/>
                <w:highlight w:val="none"/>
                <w:lang w:eastAsia="zh-CN"/>
              </w:rPr>
              <w:t>合同期限</w:t>
            </w:r>
            <w:r>
              <w:rPr>
                <w:rFonts w:hint="eastAsia" w:ascii="宋体" w:hAnsi="宋体" w:eastAsia="宋体" w:cs="宋体"/>
                <w:color w:val="auto"/>
                <w:sz w:val="24"/>
                <w:szCs w:val="24"/>
                <w:highlight w:val="none"/>
                <w:lang w:val="en-US" w:eastAsia="zh-CN"/>
              </w:rPr>
              <w:t>每缩短一年得1分，最高不超5分。</w:t>
            </w:r>
          </w:p>
        </w:tc>
        <w:tc>
          <w:tcPr>
            <w:tcW w:w="742" w:type="dxa"/>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outlineLvl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1" w:hRule="atLeast"/>
          <w:jc w:val="center"/>
        </w:trPr>
        <w:tc>
          <w:tcPr>
            <w:tcW w:w="809" w:type="dxa"/>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96" w:type="dxa"/>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outlineLvl w:val="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rPr>
              <w:t>项目整体运营方案</w:t>
            </w:r>
          </w:p>
        </w:tc>
        <w:tc>
          <w:tcPr>
            <w:tcW w:w="6695" w:type="dxa"/>
            <w:vAlign w:val="center"/>
          </w:tcPr>
          <w:p>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运营方案内容完全符合要求，得</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rPr>
              <w:t>分；</w:t>
            </w:r>
          </w:p>
          <w:p>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运营方案内容基本符合要求，得</w:t>
            </w: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分；</w:t>
            </w:r>
          </w:p>
          <w:p>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运营方案内容不完整，有缺陷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得</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分；</w:t>
            </w:r>
          </w:p>
          <w:p>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未提供不得分</w:t>
            </w:r>
          </w:p>
        </w:tc>
        <w:tc>
          <w:tcPr>
            <w:tcW w:w="742" w:type="dxa"/>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outlineLvl w:val="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0" w:hRule="atLeast"/>
          <w:jc w:val="center"/>
        </w:trPr>
        <w:tc>
          <w:tcPr>
            <w:tcW w:w="809" w:type="dxa"/>
            <w:vMerge w:val="restart"/>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196" w:type="dxa"/>
            <w:vMerge w:val="restart"/>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光伏发电系统的设计方案</w:t>
            </w:r>
          </w:p>
        </w:tc>
        <w:tc>
          <w:tcPr>
            <w:tcW w:w="6695" w:type="dxa"/>
            <w:vAlign w:val="center"/>
          </w:tcPr>
          <w:p>
            <w:pPr>
              <w:keepNext w:val="0"/>
              <w:keepLines w:val="0"/>
              <w:pageBreakBefore w:val="0"/>
              <w:kinsoku/>
              <w:wordWrap/>
              <w:overflowPunct/>
              <w:topLinePunct w:val="0"/>
              <w:autoSpaceDE/>
              <w:autoSpaceDN/>
              <w:bidi w:val="0"/>
              <w:adjustRightInd/>
              <w:snapToGrid/>
              <w:spacing w:line="340" w:lineRule="exact"/>
              <w:jc w:val="left"/>
              <w:textAlignment w:val="auto"/>
              <w:outlineLvl w:val="0"/>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lang w:val="en-US" w:eastAsia="zh-CN"/>
              </w:rPr>
              <w:t>提供</w:t>
            </w:r>
            <w:r>
              <w:rPr>
                <w:rFonts w:hint="eastAsia" w:ascii="宋体" w:hAnsi="宋体" w:eastAsia="宋体" w:cs="宋体"/>
                <w:color w:val="auto"/>
                <w:kern w:val="0"/>
                <w:sz w:val="24"/>
                <w:szCs w:val="24"/>
                <w:highlight w:val="none"/>
                <w:lang w:eastAsia="zh-CN"/>
              </w:rPr>
              <w:t>由</w:t>
            </w:r>
            <w:r>
              <w:rPr>
                <w:rFonts w:hint="eastAsia" w:ascii="宋体" w:hAnsi="宋体" w:eastAsia="宋体" w:cs="宋体"/>
                <w:color w:val="auto"/>
                <w:kern w:val="0"/>
                <w:sz w:val="24"/>
                <w:szCs w:val="24"/>
                <w:highlight w:val="none"/>
              </w:rPr>
              <w:t>具备资质的设计单位承担工程建设的整体设计</w:t>
            </w:r>
            <w:r>
              <w:rPr>
                <w:rFonts w:hint="eastAsia" w:ascii="宋体" w:hAnsi="宋体" w:eastAsia="宋体" w:cs="宋体"/>
                <w:color w:val="auto"/>
                <w:kern w:val="0"/>
                <w:sz w:val="24"/>
                <w:szCs w:val="24"/>
                <w:highlight w:val="none"/>
                <w:lang w:val="en-US" w:eastAsia="zh-CN"/>
              </w:rPr>
              <w:t>的承诺书的</w:t>
            </w:r>
            <w:bookmarkStart w:id="10" w:name="OLE_LINK15"/>
            <w:r>
              <w:rPr>
                <w:rFonts w:hint="eastAsia" w:ascii="宋体" w:hAnsi="宋体" w:eastAsia="宋体" w:cs="宋体"/>
                <w:color w:val="auto"/>
                <w:kern w:val="0"/>
                <w:sz w:val="24"/>
                <w:szCs w:val="24"/>
                <w:highlight w:val="none"/>
                <w:lang w:val="en-US" w:eastAsia="zh-CN"/>
              </w:rPr>
              <w:t>得</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分，不提供不得分</w:t>
            </w:r>
            <w:bookmarkEnd w:id="10"/>
            <w:r>
              <w:rPr>
                <w:rFonts w:hint="eastAsia" w:ascii="宋体" w:hAnsi="宋体" w:eastAsia="宋体" w:cs="宋体"/>
                <w:color w:val="auto"/>
                <w:kern w:val="0"/>
                <w:sz w:val="24"/>
                <w:szCs w:val="24"/>
                <w:highlight w:val="none"/>
                <w:lang w:val="en-US" w:eastAsia="zh-CN"/>
              </w:rPr>
              <w:t>。</w:t>
            </w:r>
          </w:p>
        </w:tc>
        <w:tc>
          <w:tcPr>
            <w:tcW w:w="742" w:type="dxa"/>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outlineLvl w:val="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0"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outlineLvl w:val="0"/>
              <w:rPr>
                <w:rFonts w:hint="eastAsia" w:ascii="宋体" w:hAnsi="宋体" w:eastAsia="宋体" w:cs="宋体"/>
                <w:color w:val="auto"/>
                <w:sz w:val="24"/>
                <w:szCs w:val="24"/>
                <w:highlight w:val="none"/>
              </w:rPr>
            </w:pPr>
          </w:p>
        </w:tc>
        <w:tc>
          <w:tcPr>
            <w:tcW w:w="1196" w:type="dxa"/>
            <w:vMerge w:val="continue"/>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outlineLvl w:val="0"/>
              <w:rPr>
                <w:rFonts w:hint="eastAsia" w:ascii="宋体" w:hAnsi="宋体" w:eastAsia="宋体" w:cs="宋体"/>
                <w:color w:val="auto"/>
                <w:sz w:val="24"/>
                <w:szCs w:val="24"/>
                <w:highlight w:val="none"/>
              </w:rPr>
            </w:pPr>
          </w:p>
        </w:tc>
        <w:tc>
          <w:tcPr>
            <w:tcW w:w="6695" w:type="dxa"/>
            <w:vAlign w:val="center"/>
          </w:tcPr>
          <w:p>
            <w:pPr>
              <w:numPr>
                <w:ilvl w:val="0"/>
                <w:numId w:val="0"/>
              </w:numPr>
              <w:tabs>
                <w:tab w:val="left" w:pos="709"/>
                <w:tab w:val="clear" w:pos="360"/>
                <w:tab w:val="clear" w:pos="840"/>
                <w:tab w:val="clear" w:pos="1440"/>
              </w:tabs>
              <w:adjustRightInd w:val="0"/>
              <w:snapToGrid w:val="0"/>
              <w:spacing w:line="240" w:lineRule="auto"/>
              <w:ind w:right="229" w:rightChars="109"/>
              <w:outlineLvl w:val="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需考虑到医院</w:t>
            </w:r>
            <w:bookmarkStart w:id="11" w:name="OLE_LINK9"/>
            <w:r>
              <w:rPr>
                <w:rFonts w:hint="eastAsia" w:ascii="宋体" w:hAnsi="宋体" w:eastAsia="宋体" w:cs="宋体"/>
                <w:color w:val="auto"/>
                <w:kern w:val="0"/>
                <w:sz w:val="24"/>
                <w:szCs w:val="24"/>
                <w:highlight w:val="none"/>
                <w:lang w:val="en-US" w:eastAsia="zh-CN"/>
              </w:rPr>
              <w:t>车棚的光储充一体化</w:t>
            </w:r>
            <w:bookmarkEnd w:id="11"/>
            <w:r>
              <w:rPr>
                <w:rFonts w:hint="eastAsia" w:ascii="宋体" w:hAnsi="宋体" w:eastAsia="宋体" w:cs="宋体"/>
                <w:color w:val="auto"/>
                <w:kern w:val="0"/>
                <w:sz w:val="24"/>
                <w:szCs w:val="24"/>
                <w:highlight w:val="none"/>
                <w:lang w:val="en-US" w:eastAsia="zh-CN"/>
              </w:rPr>
              <w:t>需求：</w:t>
            </w:r>
          </w:p>
          <w:p>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color w:val="auto"/>
                <w:sz w:val="24"/>
                <w:szCs w:val="24"/>
                <w:highlight w:val="none"/>
              </w:rPr>
            </w:pPr>
            <w:bookmarkStart w:id="12" w:name="OLE_LINK18"/>
            <w:r>
              <w:rPr>
                <w:rFonts w:hint="eastAsia" w:ascii="宋体" w:hAnsi="宋体" w:eastAsia="宋体" w:cs="宋体"/>
                <w:color w:val="auto"/>
                <w:kern w:val="0"/>
                <w:sz w:val="24"/>
                <w:szCs w:val="24"/>
                <w:highlight w:val="none"/>
                <w:lang w:val="en-US" w:eastAsia="zh-CN"/>
              </w:rPr>
              <w:t>车棚光储充一体化设计</w:t>
            </w:r>
            <w:bookmarkEnd w:id="12"/>
            <w:r>
              <w:rPr>
                <w:rFonts w:hint="eastAsia" w:ascii="宋体" w:hAnsi="宋体" w:eastAsia="宋体" w:cs="宋体"/>
                <w:color w:val="auto"/>
                <w:sz w:val="24"/>
                <w:szCs w:val="24"/>
                <w:highlight w:val="none"/>
              </w:rPr>
              <w:t>完善可行得</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p>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color w:val="auto"/>
                <w:sz w:val="24"/>
                <w:szCs w:val="24"/>
                <w:highlight w:val="none"/>
              </w:rPr>
            </w:pPr>
            <w:bookmarkStart w:id="13" w:name="OLE_LINK20"/>
            <w:r>
              <w:rPr>
                <w:rFonts w:hint="eastAsia" w:ascii="宋体" w:hAnsi="宋体" w:eastAsia="宋体" w:cs="宋体"/>
                <w:color w:val="auto"/>
                <w:kern w:val="0"/>
                <w:sz w:val="24"/>
                <w:szCs w:val="24"/>
                <w:highlight w:val="none"/>
                <w:lang w:val="en-US" w:eastAsia="zh-CN"/>
              </w:rPr>
              <w:t>车棚光储充一体化设计</w:t>
            </w:r>
            <w:bookmarkEnd w:id="13"/>
            <w:r>
              <w:rPr>
                <w:rFonts w:hint="eastAsia" w:ascii="宋体" w:hAnsi="宋体" w:eastAsia="宋体" w:cs="宋体"/>
                <w:color w:val="auto"/>
                <w:sz w:val="24"/>
                <w:szCs w:val="24"/>
                <w:highlight w:val="none"/>
              </w:rPr>
              <w:t>较为完善可行得</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分；</w:t>
            </w:r>
          </w:p>
          <w:p>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rPr>
              <w:t>车棚光储充一体化设计</w:t>
            </w:r>
            <w:r>
              <w:rPr>
                <w:rFonts w:hint="eastAsia" w:ascii="宋体" w:hAnsi="宋体" w:eastAsia="宋体" w:cs="宋体"/>
                <w:color w:val="auto"/>
                <w:sz w:val="24"/>
                <w:szCs w:val="24"/>
                <w:highlight w:val="none"/>
              </w:rPr>
              <w:t>方案不够完善可行，不够符合项目实际需要得</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分；</w:t>
            </w:r>
          </w:p>
          <w:p>
            <w:pPr>
              <w:pStyle w:val="35"/>
              <w:ind w:left="0" w:leftChars="0" w:firstLine="0" w:firstLineChars="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sz w:val="24"/>
                <w:szCs w:val="24"/>
                <w:highlight w:val="none"/>
              </w:rPr>
              <w:t>未提供不得分</w:t>
            </w:r>
          </w:p>
        </w:tc>
        <w:tc>
          <w:tcPr>
            <w:tcW w:w="742" w:type="dxa"/>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outlineLvl w:val="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outlineLvl w:val="0"/>
              <w:rPr>
                <w:rFonts w:hint="eastAsia" w:ascii="宋体" w:hAnsi="宋体" w:eastAsia="宋体" w:cs="宋体"/>
                <w:color w:val="auto"/>
                <w:sz w:val="24"/>
                <w:szCs w:val="24"/>
                <w:highlight w:val="none"/>
              </w:rPr>
            </w:pPr>
          </w:p>
        </w:tc>
        <w:tc>
          <w:tcPr>
            <w:tcW w:w="1196" w:type="dxa"/>
            <w:vMerge w:val="continue"/>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outlineLvl w:val="0"/>
              <w:rPr>
                <w:rFonts w:hint="eastAsia" w:ascii="宋体" w:hAnsi="宋体" w:eastAsia="宋体" w:cs="宋体"/>
                <w:color w:val="auto"/>
                <w:sz w:val="24"/>
                <w:szCs w:val="24"/>
                <w:highlight w:val="none"/>
              </w:rPr>
            </w:pPr>
          </w:p>
        </w:tc>
        <w:tc>
          <w:tcPr>
            <w:tcW w:w="6695" w:type="dxa"/>
            <w:vAlign w:val="center"/>
          </w:tcPr>
          <w:p>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太阳能光伏与建筑结合设计的合理性及电气设计的合理性</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需考虑到</w:t>
            </w:r>
            <w:r>
              <w:rPr>
                <w:rFonts w:hint="eastAsia" w:ascii="宋体" w:hAnsi="宋体" w:eastAsia="宋体" w:cs="宋体"/>
                <w:color w:val="auto"/>
                <w:sz w:val="24"/>
                <w:szCs w:val="24"/>
                <w:highlight w:val="none"/>
              </w:rPr>
              <w:t>；</w:t>
            </w:r>
          </w:p>
          <w:p>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方案</w:t>
            </w:r>
            <w:bookmarkStart w:id="14" w:name="OLE_LINK17"/>
            <w:r>
              <w:rPr>
                <w:rFonts w:hint="eastAsia" w:ascii="宋体" w:hAnsi="宋体" w:eastAsia="宋体" w:cs="宋体"/>
                <w:color w:val="auto"/>
                <w:sz w:val="24"/>
                <w:szCs w:val="24"/>
                <w:highlight w:val="none"/>
              </w:rPr>
              <w:t>完善可行、符合项目实际需要、科学高效的，得</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rPr>
              <w:t>分；</w:t>
            </w:r>
          </w:p>
          <w:bookmarkEnd w:id="14"/>
          <w:p>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方案较为完善可行，基本符合项目实际需要、科学高效的，得</w:t>
            </w: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分；</w:t>
            </w:r>
          </w:p>
          <w:p>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color w:val="auto"/>
                <w:sz w:val="24"/>
                <w:szCs w:val="24"/>
                <w:highlight w:val="none"/>
              </w:rPr>
            </w:pPr>
            <w:bookmarkStart w:id="15" w:name="OLE_LINK19"/>
            <w:r>
              <w:rPr>
                <w:rFonts w:hint="eastAsia" w:ascii="宋体" w:hAnsi="宋体" w:eastAsia="宋体" w:cs="宋体"/>
                <w:color w:val="auto"/>
                <w:sz w:val="24"/>
                <w:szCs w:val="24"/>
                <w:highlight w:val="none"/>
              </w:rPr>
              <w:t>方案不够完善可行，不够符合项目实际需要、科学高效的，得</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分；</w:t>
            </w:r>
          </w:p>
          <w:bookmarkEnd w:id="15"/>
          <w:p>
            <w:pPr>
              <w:keepNext w:val="0"/>
              <w:keepLines w:val="0"/>
              <w:pageBreakBefore w:val="0"/>
              <w:kinsoku/>
              <w:wordWrap/>
              <w:overflowPunct/>
              <w:topLinePunct w:val="0"/>
              <w:autoSpaceDE/>
              <w:autoSpaceDN/>
              <w:bidi w:val="0"/>
              <w:adjustRightInd/>
              <w:snapToGrid/>
              <w:spacing w:line="340" w:lineRule="exact"/>
              <w:jc w:val="left"/>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未提供不得分</w:t>
            </w:r>
          </w:p>
        </w:tc>
        <w:tc>
          <w:tcPr>
            <w:tcW w:w="742" w:type="dxa"/>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outlineLvl w:val="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4" w:hRule="atLeast"/>
          <w:jc w:val="center"/>
        </w:trPr>
        <w:tc>
          <w:tcPr>
            <w:tcW w:w="809" w:type="dxa"/>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196" w:type="dxa"/>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光伏发电系统的施工方案</w:t>
            </w:r>
          </w:p>
        </w:tc>
        <w:tc>
          <w:tcPr>
            <w:tcW w:w="6695" w:type="dxa"/>
            <w:vAlign w:val="center"/>
          </w:tcPr>
          <w:p>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编制的施工方案符合</w:t>
            </w:r>
            <w:r>
              <w:rPr>
                <w:rFonts w:hint="eastAsia" w:ascii="宋体" w:hAnsi="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文件要求，内容全面，施工方案说明书文字表达清楚；</w:t>
            </w:r>
          </w:p>
          <w:p>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方案完善可行、符合项目实际需要、科学高效的，得</w:t>
            </w:r>
            <w:r>
              <w:rPr>
                <w:rFonts w:hint="eastAsia" w:ascii="宋体" w:hAnsi="宋体" w:cs="宋体"/>
                <w:color w:val="auto"/>
                <w:sz w:val="24"/>
                <w:szCs w:val="24"/>
                <w:highlight w:val="none"/>
                <w:lang w:val="en-US" w:eastAsia="zh-CN"/>
              </w:rPr>
              <w:t>15</w:t>
            </w:r>
            <w:r>
              <w:rPr>
                <w:rFonts w:hint="eastAsia" w:ascii="宋体" w:hAnsi="宋体" w:eastAsia="宋体" w:cs="宋体"/>
                <w:color w:val="auto"/>
                <w:sz w:val="24"/>
                <w:szCs w:val="24"/>
                <w:highlight w:val="none"/>
              </w:rPr>
              <w:t>分；</w:t>
            </w:r>
          </w:p>
          <w:p>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方案较为完善可行，基本符合项目实际需要、科学高效的，得</w:t>
            </w:r>
            <w:r>
              <w:rPr>
                <w:rFonts w:hint="eastAsia" w:ascii="宋体" w:hAnsi="宋体" w:cs="宋体"/>
                <w:color w:val="auto"/>
                <w:sz w:val="24"/>
                <w:szCs w:val="24"/>
                <w:highlight w:val="none"/>
                <w:lang w:val="en-US" w:eastAsia="zh-CN"/>
              </w:rPr>
              <w:t>11</w:t>
            </w:r>
            <w:r>
              <w:rPr>
                <w:rFonts w:hint="eastAsia" w:ascii="宋体" w:hAnsi="宋体" w:eastAsia="宋体" w:cs="宋体"/>
                <w:color w:val="auto"/>
                <w:sz w:val="24"/>
                <w:szCs w:val="24"/>
                <w:highlight w:val="none"/>
              </w:rPr>
              <w:t>分；</w:t>
            </w:r>
          </w:p>
          <w:p>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方案不够完善可行，不够符合项目实际需要、科学高效的，得</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分；</w:t>
            </w:r>
          </w:p>
          <w:p>
            <w:pPr>
              <w:keepNext w:val="0"/>
              <w:keepLines w:val="0"/>
              <w:pageBreakBefore w:val="0"/>
              <w:kinsoku/>
              <w:wordWrap/>
              <w:overflowPunct/>
              <w:topLinePunct w:val="0"/>
              <w:autoSpaceDE/>
              <w:autoSpaceDN/>
              <w:bidi w:val="0"/>
              <w:adjustRightInd/>
              <w:snapToGrid/>
              <w:spacing w:line="340" w:lineRule="exact"/>
              <w:jc w:val="left"/>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未提供不得分</w:t>
            </w:r>
          </w:p>
        </w:tc>
        <w:tc>
          <w:tcPr>
            <w:tcW w:w="742" w:type="dxa"/>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outlineLvl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0" w:hRule="atLeast"/>
          <w:jc w:val="center"/>
        </w:trPr>
        <w:tc>
          <w:tcPr>
            <w:tcW w:w="809" w:type="dxa"/>
            <w:vMerge w:val="restart"/>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196" w:type="dxa"/>
            <w:vMerge w:val="restart"/>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安全保障措施及HSE管理</w:t>
            </w:r>
          </w:p>
        </w:tc>
        <w:tc>
          <w:tcPr>
            <w:tcW w:w="6695" w:type="dxa"/>
            <w:vAlign w:val="top"/>
          </w:tcPr>
          <w:p>
            <w:pPr>
              <w:keepNext w:val="0"/>
              <w:keepLines w:val="0"/>
              <w:pageBreakBefore w:val="0"/>
              <w:numPr>
                <w:ilvl w:val="0"/>
                <w:numId w:val="9"/>
              </w:numPr>
              <w:kinsoku/>
              <w:wordWrap/>
              <w:overflowPunct/>
              <w:topLinePunct w:val="0"/>
              <w:autoSpaceDE/>
              <w:autoSpaceDN/>
              <w:bidi w:val="0"/>
              <w:adjustRightInd/>
              <w:snapToGrid/>
              <w:spacing w:line="34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安全保障措施：</w:t>
            </w:r>
          </w:p>
          <w:p>
            <w:pPr>
              <w:keepNext w:val="0"/>
              <w:keepLines w:val="0"/>
              <w:pageBreakBefore w:val="0"/>
              <w:kinsoku/>
              <w:wordWrap/>
              <w:overflowPunct/>
              <w:topLinePunct w:val="0"/>
              <w:autoSpaceDE/>
              <w:autoSpaceDN/>
              <w:bidi w:val="0"/>
              <w:adjustRightInd/>
              <w:snapToGrid/>
              <w:spacing w:line="34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措施体系完整、措施得力</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p>
            <w:pPr>
              <w:keepNext w:val="0"/>
              <w:keepLines w:val="0"/>
              <w:pageBreakBefore w:val="0"/>
              <w:kinsoku/>
              <w:wordWrap/>
              <w:overflowPunct/>
              <w:topLinePunct w:val="0"/>
              <w:autoSpaceDE/>
              <w:autoSpaceDN/>
              <w:bidi w:val="0"/>
              <w:adjustRightInd/>
              <w:snapToGrid/>
              <w:spacing w:line="34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体系及措施完善，措施一般</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分</w:t>
            </w:r>
          </w:p>
          <w:p>
            <w:pPr>
              <w:keepNext w:val="0"/>
              <w:keepLines w:val="0"/>
              <w:pageBreakBefore w:val="0"/>
              <w:kinsoku/>
              <w:wordWrap/>
              <w:overflowPunct/>
              <w:topLinePunct w:val="0"/>
              <w:autoSpaceDE/>
              <w:autoSpaceDN/>
              <w:bidi w:val="0"/>
              <w:adjustRightInd/>
              <w:snapToGrid/>
              <w:spacing w:line="34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有安全保障措施，但不完善、不完整、不得力</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分</w:t>
            </w:r>
          </w:p>
          <w:p>
            <w:pPr>
              <w:pStyle w:val="70"/>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未提供不得分</w:t>
            </w:r>
          </w:p>
        </w:tc>
        <w:tc>
          <w:tcPr>
            <w:tcW w:w="742" w:type="dxa"/>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outlineLvl w:val="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0"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outlineLvl w:val="0"/>
              <w:rPr>
                <w:rFonts w:hint="eastAsia" w:ascii="宋体" w:hAnsi="宋体" w:eastAsia="宋体" w:cs="宋体"/>
                <w:color w:val="auto"/>
                <w:sz w:val="24"/>
                <w:szCs w:val="24"/>
                <w:highlight w:val="none"/>
              </w:rPr>
            </w:pPr>
          </w:p>
        </w:tc>
        <w:tc>
          <w:tcPr>
            <w:tcW w:w="1196" w:type="dxa"/>
            <w:vMerge w:val="continue"/>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outlineLvl w:val="0"/>
              <w:rPr>
                <w:rFonts w:hint="eastAsia" w:ascii="宋体" w:hAnsi="宋体" w:eastAsia="宋体" w:cs="宋体"/>
                <w:color w:val="auto"/>
                <w:sz w:val="24"/>
                <w:szCs w:val="24"/>
                <w:highlight w:val="none"/>
              </w:rPr>
            </w:pPr>
          </w:p>
        </w:tc>
        <w:tc>
          <w:tcPr>
            <w:tcW w:w="6695" w:type="dxa"/>
            <w:vAlign w:val="top"/>
          </w:tcPr>
          <w:p>
            <w:pPr>
              <w:keepNext w:val="0"/>
              <w:keepLines w:val="0"/>
              <w:pageBreakBefore w:val="0"/>
              <w:widowControl/>
              <w:kinsoku/>
              <w:wordWrap/>
              <w:overflowPunct/>
              <w:topLinePunct w:val="0"/>
              <w:autoSpaceDE/>
              <w:autoSpaceDN/>
              <w:bidi w:val="0"/>
              <w:adjustRightInd/>
              <w:snapToGrid/>
              <w:spacing w:line="3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2、HSE管理</w:t>
            </w:r>
          </w:p>
          <w:p>
            <w:pPr>
              <w:keepNext w:val="0"/>
              <w:keepLines w:val="0"/>
              <w:pageBreakBefore w:val="0"/>
              <w:widowControl/>
              <w:kinsoku/>
              <w:wordWrap/>
              <w:overflowPunct/>
              <w:topLinePunct w:val="0"/>
              <w:autoSpaceDE/>
              <w:autoSpaceDN/>
              <w:bidi w:val="0"/>
              <w:adjustRightInd/>
              <w:snapToGrid/>
              <w:spacing w:line="34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①建立健康、安全、环境（HSE）管理制度，得</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分；无该项内容不得分。</w:t>
            </w:r>
          </w:p>
          <w:p>
            <w:pPr>
              <w:keepNext w:val="0"/>
              <w:keepLines w:val="0"/>
              <w:pageBreakBefore w:val="0"/>
              <w:widowControl/>
              <w:kinsoku/>
              <w:wordWrap/>
              <w:overflowPunct/>
              <w:topLinePunct w:val="0"/>
              <w:autoSpaceDE/>
              <w:autoSpaceDN/>
              <w:bidi w:val="0"/>
              <w:adjustRightInd/>
              <w:snapToGrid/>
              <w:spacing w:line="34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②明确健康、安全、环境（HSE）目标，得</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分；无该项内容不得分。</w:t>
            </w:r>
          </w:p>
          <w:p>
            <w:pPr>
              <w:keepNext w:val="0"/>
              <w:keepLines w:val="0"/>
              <w:pageBreakBefore w:val="0"/>
              <w:widowControl/>
              <w:kinsoku/>
              <w:wordWrap/>
              <w:overflowPunct/>
              <w:topLinePunct w:val="0"/>
              <w:autoSpaceDE/>
              <w:autoSpaceDN/>
              <w:bidi w:val="0"/>
              <w:adjustRightInd/>
              <w:snapToGrid/>
              <w:spacing w:line="34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③确定安全生产责任制和岗位职责，得</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分；无该项内容不得分。</w:t>
            </w:r>
          </w:p>
          <w:p>
            <w:pPr>
              <w:keepNext w:val="0"/>
              <w:keepLines w:val="0"/>
              <w:pageBreakBefore w:val="0"/>
              <w:widowControl/>
              <w:kinsoku/>
              <w:wordWrap/>
              <w:overflowPunct/>
              <w:topLinePunct w:val="0"/>
              <w:autoSpaceDE/>
              <w:autoSpaceDN/>
              <w:bidi w:val="0"/>
              <w:adjustRightInd/>
              <w:snapToGrid/>
              <w:spacing w:line="34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④建立健康、安全、环境（HSE）组织机构，得</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分；无该项内容不得分。</w:t>
            </w:r>
          </w:p>
          <w:p>
            <w:pPr>
              <w:keepNext w:val="0"/>
              <w:keepLines w:val="0"/>
              <w:pageBreakBefore w:val="0"/>
              <w:widowControl/>
              <w:kinsoku/>
              <w:wordWrap/>
              <w:overflowPunct/>
              <w:topLinePunct w:val="0"/>
              <w:autoSpaceDE/>
              <w:autoSpaceDN/>
              <w:bidi w:val="0"/>
              <w:adjustRightInd/>
              <w:snapToGrid/>
              <w:spacing w:line="3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⑤按要求配备专职安全管理人员，得</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分；无该项内容不得分。</w:t>
            </w:r>
          </w:p>
        </w:tc>
        <w:tc>
          <w:tcPr>
            <w:tcW w:w="742" w:type="dxa"/>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outlineLvl w:val="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r>
    </w:tbl>
    <w:p>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sz w:val="24"/>
          <w:szCs w:val="24"/>
          <w:highlight w:val="none"/>
          <w:lang w:val="zh-CN"/>
        </w:rPr>
      </w:pPr>
    </w:p>
    <w:p>
      <w:pPr>
        <w:spacing w:line="520" w:lineRule="exact"/>
        <w:jc w:val="left"/>
        <w:rPr>
          <w:rFonts w:ascii="宋体" w:hAnsi="宋体"/>
          <w:color w:val="auto"/>
          <w:sz w:val="24"/>
          <w:szCs w:val="24"/>
          <w:highlight w:val="none"/>
          <w:lang w:val="zh-CN"/>
        </w:rPr>
      </w:pPr>
      <w:r>
        <w:rPr>
          <w:rFonts w:hint="eastAsia" w:ascii="宋体" w:hAnsi="宋体"/>
          <w:color w:val="auto"/>
          <w:sz w:val="24"/>
          <w:szCs w:val="24"/>
          <w:highlight w:val="none"/>
          <w:lang w:val="zh-CN"/>
        </w:rPr>
        <w:t>比较与评价：</w:t>
      </w:r>
      <w:bookmarkStart w:id="16" w:name="OLE_LINK10"/>
      <w:r>
        <w:rPr>
          <w:rFonts w:hint="eastAsia" w:ascii="宋体" w:hAnsi="宋体"/>
          <w:color w:val="auto"/>
          <w:sz w:val="24"/>
          <w:szCs w:val="24"/>
          <w:highlight w:val="none"/>
          <w:lang w:val="en-US" w:eastAsia="zh-CN"/>
        </w:rPr>
        <w:t>磋商小组</w:t>
      </w:r>
      <w:bookmarkEnd w:id="16"/>
      <w:r>
        <w:rPr>
          <w:rFonts w:hint="eastAsia" w:ascii="宋体" w:hAnsi="宋体"/>
          <w:color w:val="auto"/>
          <w:sz w:val="24"/>
          <w:szCs w:val="24"/>
          <w:highlight w:val="none"/>
          <w:lang w:val="zh-CN"/>
        </w:rPr>
        <w:t>根据“附表</w:t>
      </w:r>
      <w:r>
        <w:rPr>
          <w:rFonts w:hint="eastAsia" w:ascii="宋体" w:hAnsi="宋体"/>
          <w:color w:val="auto"/>
          <w:sz w:val="24"/>
          <w:szCs w:val="24"/>
          <w:highlight w:val="none"/>
          <w:lang w:val="en-US" w:eastAsia="zh-CN"/>
        </w:rPr>
        <w:t>2</w:t>
      </w:r>
      <w:r>
        <w:rPr>
          <w:rFonts w:hint="eastAsia" w:ascii="宋体" w:hAnsi="宋体"/>
          <w:color w:val="auto"/>
          <w:sz w:val="24"/>
          <w:szCs w:val="24"/>
          <w:highlight w:val="none"/>
          <w:lang w:val="zh-CN"/>
        </w:rPr>
        <w:t>商务技术评分表”的要求，对照</w:t>
      </w:r>
      <w:r>
        <w:rPr>
          <w:rFonts w:hint="eastAsia" w:ascii="宋体" w:hAnsi="宋体"/>
          <w:color w:val="auto"/>
          <w:sz w:val="24"/>
          <w:szCs w:val="24"/>
          <w:highlight w:val="none"/>
          <w:lang w:val="en-US" w:eastAsia="zh-CN"/>
        </w:rPr>
        <w:t>磋商响应</w:t>
      </w:r>
      <w:r>
        <w:rPr>
          <w:rFonts w:hint="eastAsia" w:ascii="宋体" w:hAnsi="宋体"/>
          <w:color w:val="auto"/>
          <w:sz w:val="24"/>
          <w:szCs w:val="24"/>
          <w:highlight w:val="none"/>
          <w:lang w:val="zh-CN"/>
        </w:rPr>
        <w:t>文件的应答进行比较，判定其偏差性质和程度，由</w:t>
      </w:r>
      <w:r>
        <w:rPr>
          <w:rFonts w:hint="eastAsia" w:ascii="宋体" w:hAnsi="宋体"/>
          <w:color w:val="auto"/>
          <w:sz w:val="24"/>
          <w:szCs w:val="24"/>
          <w:highlight w:val="none"/>
          <w:lang w:val="en-US" w:eastAsia="zh-CN"/>
        </w:rPr>
        <w:t>磋商小组</w:t>
      </w:r>
      <w:r>
        <w:rPr>
          <w:rFonts w:hint="eastAsia" w:ascii="宋体" w:hAnsi="宋体"/>
          <w:color w:val="auto"/>
          <w:sz w:val="24"/>
          <w:szCs w:val="24"/>
          <w:highlight w:val="none"/>
          <w:lang w:val="zh-CN"/>
        </w:rPr>
        <w:t>成员在分值范围内自行评分。</w:t>
      </w:r>
      <w:r>
        <w:rPr>
          <w:rFonts w:hint="eastAsia" w:ascii="宋体" w:hAnsi="宋体"/>
          <w:color w:val="auto"/>
          <w:sz w:val="24"/>
          <w:szCs w:val="24"/>
          <w:highlight w:val="none"/>
          <w:lang w:val="en-US" w:eastAsia="zh-CN"/>
        </w:rPr>
        <w:t>响应人</w:t>
      </w:r>
      <w:r>
        <w:rPr>
          <w:rFonts w:hint="eastAsia" w:ascii="宋体" w:hAnsi="宋体"/>
          <w:color w:val="auto"/>
          <w:sz w:val="24"/>
          <w:szCs w:val="24"/>
          <w:highlight w:val="none"/>
          <w:lang w:val="zh-CN"/>
        </w:rPr>
        <w:t>商务技术得分为各</w:t>
      </w:r>
      <w:r>
        <w:rPr>
          <w:rFonts w:hint="eastAsia" w:ascii="宋体" w:hAnsi="宋体"/>
          <w:color w:val="auto"/>
          <w:sz w:val="24"/>
          <w:szCs w:val="24"/>
          <w:highlight w:val="none"/>
          <w:lang w:val="en-US" w:eastAsia="zh-CN"/>
        </w:rPr>
        <w:t>磋商小组</w:t>
      </w:r>
      <w:r>
        <w:rPr>
          <w:rFonts w:hint="eastAsia" w:ascii="宋体" w:hAnsi="宋体"/>
          <w:color w:val="auto"/>
          <w:sz w:val="24"/>
          <w:szCs w:val="24"/>
          <w:highlight w:val="none"/>
          <w:lang w:val="zh-CN"/>
        </w:rPr>
        <w:t>成员有效评分的算术平均值（小数点后保留二位数）。</w:t>
      </w:r>
    </w:p>
    <w:p>
      <w:pPr>
        <w:spacing w:line="520" w:lineRule="exact"/>
        <w:jc w:val="left"/>
        <w:rPr>
          <w:rFonts w:ascii="宋体" w:hAnsi="宋体"/>
          <w:color w:val="auto"/>
          <w:sz w:val="24"/>
          <w:szCs w:val="24"/>
          <w:highlight w:val="none"/>
          <w:lang w:val="zh-CN"/>
        </w:rPr>
      </w:pPr>
      <w:r>
        <w:rPr>
          <w:rFonts w:hint="eastAsia" w:ascii="宋体" w:hAnsi="宋体"/>
          <w:color w:val="auto"/>
          <w:sz w:val="24"/>
          <w:szCs w:val="24"/>
          <w:highlight w:val="none"/>
          <w:lang w:val="zh-CN"/>
        </w:rPr>
        <w:t>评委签名：                                                时间</w:t>
      </w:r>
    </w:p>
    <w:p>
      <w:pPr>
        <w:spacing w:line="520" w:lineRule="exact"/>
        <w:jc w:val="left"/>
        <w:rPr>
          <w:rFonts w:ascii="宋体" w:hAnsi="宋体"/>
          <w:color w:val="auto"/>
          <w:sz w:val="24"/>
          <w:szCs w:val="24"/>
          <w:highlight w:val="none"/>
          <w:lang w:val="zh-CN"/>
        </w:rPr>
      </w:pPr>
      <w:r>
        <w:rPr>
          <w:rFonts w:hint="eastAsia" w:ascii="宋体" w:hAnsi="宋体"/>
          <w:color w:val="auto"/>
          <w:sz w:val="24"/>
          <w:szCs w:val="24"/>
          <w:highlight w:val="none"/>
          <w:lang w:val="zh-CN"/>
        </w:rPr>
        <w:br w:type="page"/>
      </w:r>
    </w:p>
    <w:p>
      <w:pPr>
        <w:spacing w:line="520" w:lineRule="exact"/>
        <w:rPr>
          <w:rFonts w:ascii="宋体" w:hAnsi="宋体"/>
          <w:color w:val="auto"/>
          <w:sz w:val="24"/>
          <w:szCs w:val="24"/>
          <w:highlight w:val="none"/>
        </w:rPr>
      </w:pPr>
      <w:r>
        <w:rPr>
          <w:rFonts w:hint="eastAsia" w:ascii="宋体" w:hAnsi="宋体"/>
          <w:color w:val="auto"/>
          <w:sz w:val="24"/>
          <w:szCs w:val="24"/>
          <w:highlight w:val="none"/>
        </w:rPr>
        <w:t>附表</w:t>
      </w:r>
      <w:r>
        <w:rPr>
          <w:rFonts w:hint="eastAsia" w:ascii="宋体" w:hAnsi="宋体"/>
          <w:color w:val="auto"/>
          <w:sz w:val="24"/>
          <w:szCs w:val="24"/>
          <w:highlight w:val="none"/>
          <w:lang w:val="en-US" w:eastAsia="zh-CN"/>
        </w:rPr>
        <w:t>3</w:t>
      </w:r>
    </w:p>
    <w:p>
      <w:pPr>
        <w:spacing w:line="520" w:lineRule="exact"/>
        <w:jc w:val="center"/>
        <w:rPr>
          <w:rFonts w:ascii="宋体" w:hAnsi="宋体"/>
          <w:b/>
          <w:color w:val="auto"/>
          <w:sz w:val="24"/>
          <w:szCs w:val="24"/>
          <w:highlight w:val="none"/>
        </w:rPr>
      </w:pPr>
      <w:r>
        <w:rPr>
          <w:rFonts w:hint="eastAsia" w:ascii="宋体" w:hAnsi="宋体"/>
          <w:b/>
          <w:color w:val="auto"/>
          <w:sz w:val="24"/>
          <w:szCs w:val="24"/>
          <w:highlight w:val="none"/>
        </w:rPr>
        <w:t>价格评分表</w:t>
      </w:r>
    </w:p>
    <w:p>
      <w:pPr>
        <w:spacing w:line="520" w:lineRule="exact"/>
        <w:rPr>
          <w:rFonts w:ascii="宋体" w:hAnsi="宋体"/>
          <w:b/>
          <w:color w:val="auto"/>
          <w:sz w:val="24"/>
          <w:szCs w:val="24"/>
          <w:highlight w:val="none"/>
        </w:rPr>
      </w:pPr>
      <w:r>
        <w:rPr>
          <w:rFonts w:hint="eastAsia" w:ascii="宋体" w:hAnsi="宋体"/>
          <w:b/>
          <w:color w:val="auto"/>
          <w:sz w:val="24"/>
          <w:szCs w:val="24"/>
          <w:highlight w:val="none"/>
        </w:rPr>
        <w:t xml:space="preserve">采购编号： </w:t>
      </w:r>
    </w:p>
    <w:tbl>
      <w:tblPr>
        <w:tblStyle w:val="33"/>
        <w:tblW w:w="9618"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604"/>
        <w:gridCol w:w="13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60" w:hRule="atLeast"/>
        </w:trPr>
        <w:tc>
          <w:tcPr>
            <w:tcW w:w="8279" w:type="dxa"/>
            <w:gridSpan w:val="2"/>
            <w:tcBorders>
              <w:top w:val="double" w:color="auto" w:sz="4" w:space="0"/>
              <w:left w:val="double" w:color="auto" w:sz="4" w:space="0"/>
              <w:bottom w:val="double" w:color="auto" w:sz="4" w:space="0"/>
              <w:right w:val="single" w:color="auto" w:sz="4" w:space="0"/>
              <w:tl2br w:val="single" w:color="000000" w:sz="4" w:space="0"/>
            </w:tcBorders>
          </w:tcPr>
          <w:p>
            <w:pPr>
              <w:spacing w:line="520" w:lineRule="exact"/>
              <w:ind w:left="6707" w:leftChars="2394" w:right="420" w:hanging="1680" w:hangingChars="700"/>
              <w:rPr>
                <w:rFonts w:ascii="宋体" w:hAnsi="宋体"/>
                <w:color w:val="auto"/>
                <w:sz w:val="24"/>
                <w:szCs w:val="24"/>
                <w:highlight w:val="none"/>
              </w:rPr>
            </w:pPr>
            <w:r>
              <w:rPr>
                <w:rFonts w:hint="eastAsia" w:ascii="宋体" w:hAnsi="宋体"/>
                <w:color w:val="auto"/>
                <w:sz w:val="24"/>
                <w:szCs w:val="24"/>
                <w:highlight w:val="none"/>
              </w:rPr>
              <w:t xml:space="preserve">                        投标商</w:t>
            </w:r>
          </w:p>
          <w:p>
            <w:pPr>
              <w:spacing w:line="520" w:lineRule="exact"/>
              <w:ind w:firstLine="1080" w:firstLineChars="450"/>
              <w:rPr>
                <w:rFonts w:ascii="宋体" w:hAnsi="宋体"/>
                <w:color w:val="auto"/>
                <w:sz w:val="24"/>
                <w:szCs w:val="24"/>
                <w:highlight w:val="none"/>
                <w:lang w:val="ru-RU"/>
              </w:rPr>
            </w:pPr>
            <w:r>
              <w:rPr>
                <w:rFonts w:hint="eastAsia" w:ascii="宋体" w:hAnsi="宋体"/>
                <w:color w:val="auto"/>
                <w:sz w:val="24"/>
                <w:szCs w:val="24"/>
                <w:highlight w:val="none"/>
              </w:rPr>
              <w:t>分值</w:t>
            </w:r>
          </w:p>
        </w:tc>
        <w:tc>
          <w:tcPr>
            <w:tcW w:w="1339" w:type="dxa"/>
            <w:tcBorders>
              <w:top w:val="double" w:color="auto" w:sz="4" w:space="0"/>
              <w:left w:val="single" w:color="auto" w:sz="4" w:space="0"/>
              <w:bottom w:val="double" w:color="auto" w:sz="4" w:space="0"/>
              <w:right w:val="double" w:color="auto" w:sz="4" w:space="0"/>
            </w:tcBorders>
            <w:vAlign w:val="center"/>
          </w:tcPr>
          <w:p>
            <w:pPr>
              <w:spacing w:line="520" w:lineRule="exact"/>
              <w:jc w:val="center"/>
              <w:rPr>
                <w:rFonts w:ascii="宋体" w:hAnsi="宋体"/>
                <w:color w:val="auto"/>
                <w:sz w:val="24"/>
                <w:szCs w:val="24"/>
                <w:highlight w:val="none"/>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11" w:hRule="atLeast"/>
        </w:trPr>
        <w:tc>
          <w:tcPr>
            <w:tcW w:w="675" w:type="dxa"/>
            <w:tcBorders>
              <w:top w:val="double" w:color="auto" w:sz="4" w:space="0"/>
              <w:left w:val="double" w:color="auto" w:sz="4" w:space="0"/>
              <w:right w:val="single" w:color="auto" w:sz="4" w:space="0"/>
            </w:tcBorders>
            <w:vAlign w:val="center"/>
          </w:tcPr>
          <w:p>
            <w:pPr>
              <w:spacing w:line="520" w:lineRule="exact"/>
              <w:jc w:val="center"/>
              <w:rPr>
                <w:rFonts w:ascii="宋体" w:hAnsi="宋体"/>
                <w:color w:val="auto"/>
                <w:sz w:val="24"/>
                <w:szCs w:val="24"/>
                <w:highlight w:val="none"/>
              </w:rPr>
            </w:pPr>
            <w:r>
              <w:rPr>
                <w:rFonts w:hint="eastAsia" w:ascii="宋体" w:hAnsi="宋体"/>
                <w:color w:val="auto"/>
                <w:sz w:val="24"/>
                <w:szCs w:val="24"/>
                <w:highlight w:val="none"/>
              </w:rPr>
              <w:t>价格</w:t>
            </w:r>
            <w:r>
              <w:rPr>
                <w:rFonts w:hint="eastAsia" w:ascii="宋体" w:hAnsi="宋体"/>
                <w:color w:val="auto"/>
                <w:sz w:val="24"/>
                <w:szCs w:val="24"/>
                <w:highlight w:val="none"/>
                <w:lang w:val="en-US" w:eastAsia="zh-CN"/>
              </w:rPr>
              <w:t>30</w:t>
            </w:r>
            <w:r>
              <w:rPr>
                <w:rFonts w:hint="eastAsia" w:ascii="宋体" w:hAnsi="宋体"/>
                <w:color w:val="auto"/>
                <w:sz w:val="24"/>
                <w:szCs w:val="24"/>
                <w:highlight w:val="none"/>
              </w:rPr>
              <w:t>分</w:t>
            </w:r>
          </w:p>
        </w:tc>
        <w:tc>
          <w:tcPr>
            <w:tcW w:w="7604" w:type="dxa"/>
            <w:tcBorders>
              <w:top w:val="double" w:color="auto" w:sz="4" w:space="0"/>
              <w:left w:val="single" w:color="auto" w:sz="4" w:space="0"/>
            </w:tcBorders>
            <w:vAlign w:val="center"/>
          </w:tcPr>
          <w:p>
            <w:pPr>
              <w:spacing w:line="520" w:lineRule="exact"/>
              <w:rPr>
                <w:rFonts w:ascii="宋体" w:hAnsi="宋体"/>
                <w:color w:val="auto"/>
                <w:sz w:val="24"/>
                <w:szCs w:val="24"/>
                <w:highlight w:val="none"/>
              </w:rPr>
            </w:pPr>
            <w:r>
              <w:rPr>
                <w:rFonts w:hint="eastAsia" w:ascii="宋体" w:hAnsi="宋体"/>
                <w:color w:val="auto"/>
                <w:sz w:val="24"/>
                <w:szCs w:val="24"/>
                <w:highlight w:val="none"/>
              </w:rPr>
              <w:t>评标基准价</w:t>
            </w:r>
            <w:r>
              <w:rPr>
                <w:rFonts w:ascii="宋体" w:hAnsi="宋体"/>
                <w:color w:val="auto"/>
                <w:sz w:val="24"/>
                <w:szCs w:val="24"/>
                <w:highlight w:val="none"/>
              </w:rPr>
              <w:t>=</w:t>
            </w:r>
            <w:r>
              <w:rPr>
                <w:rFonts w:hint="eastAsia" w:ascii="宋体" w:hAnsi="宋体"/>
                <w:color w:val="auto"/>
                <w:sz w:val="24"/>
                <w:szCs w:val="24"/>
                <w:highlight w:val="none"/>
              </w:rPr>
              <w:t>满足招标文件要求且投标价格最低的投标报价</w:t>
            </w:r>
          </w:p>
          <w:p>
            <w:pPr>
              <w:spacing w:line="520" w:lineRule="exact"/>
              <w:rPr>
                <w:rFonts w:ascii="宋体" w:hAnsi="宋体"/>
                <w:color w:val="auto"/>
                <w:sz w:val="24"/>
                <w:szCs w:val="24"/>
                <w:highlight w:val="none"/>
              </w:rPr>
            </w:pPr>
            <w:r>
              <w:rPr>
                <w:rFonts w:hint="eastAsia" w:ascii="宋体" w:hAnsi="宋体"/>
                <w:color w:val="auto"/>
                <w:sz w:val="24"/>
                <w:szCs w:val="24"/>
                <w:highlight w:val="none"/>
              </w:rPr>
              <w:t>基准价得分为满分。</w:t>
            </w:r>
          </w:p>
          <w:p>
            <w:pPr>
              <w:spacing w:line="520" w:lineRule="exact"/>
              <w:rPr>
                <w:rFonts w:ascii="宋体" w:hAnsi="宋体"/>
                <w:color w:val="auto"/>
                <w:sz w:val="24"/>
                <w:szCs w:val="24"/>
                <w:highlight w:val="none"/>
              </w:rPr>
            </w:pPr>
            <w:r>
              <w:rPr>
                <w:rFonts w:hint="eastAsia" w:ascii="宋体" w:hAnsi="宋体"/>
                <w:color w:val="auto"/>
                <w:sz w:val="24"/>
                <w:szCs w:val="24"/>
                <w:highlight w:val="none"/>
              </w:rPr>
              <w:t>投标报价得分</w:t>
            </w:r>
            <w:r>
              <w:rPr>
                <w:rFonts w:ascii="宋体" w:hAnsi="宋体"/>
                <w:color w:val="auto"/>
                <w:sz w:val="24"/>
                <w:szCs w:val="24"/>
                <w:highlight w:val="none"/>
              </w:rPr>
              <w:t>=(</w:t>
            </w:r>
            <w:r>
              <w:rPr>
                <w:rFonts w:hint="eastAsia" w:ascii="宋体" w:hAnsi="宋体"/>
                <w:color w:val="auto"/>
                <w:sz w:val="24"/>
                <w:szCs w:val="24"/>
                <w:highlight w:val="none"/>
              </w:rPr>
              <w:t>评标基准价</w:t>
            </w:r>
            <w:r>
              <w:rPr>
                <w:rFonts w:ascii="宋体" w:hAnsi="宋体"/>
                <w:color w:val="auto"/>
                <w:sz w:val="24"/>
                <w:szCs w:val="24"/>
                <w:highlight w:val="none"/>
              </w:rPr>
              <w:t>/</w:t>
            </w:r>
            <w:r>
              <w:rPr>
                <w:rFonts w:hint="eastAsia" w:ascii="宋体" w:hAnsi="宋体"/>
                <w:color w:val="auto"/>
                <w:sz w:val="24"/>
                <w:szCs w:val="24"/>
                <w:highlight w:val="none"/>
              </w:rPr>
              <w:t>投标报价</w:t>
            </w:r>
            <w:r>
              <w:rPr>
                <w:rFonts w:ascii="宋体" w:hAnsi="宋体"/>
                <w:color w:val="auto"/>
                <w:sz w:val="24"/>
                <w:szCs w:val="24"/>
                <w:highlight w:val="none"/>
              </w:rPr>
              <w:t>)</w:t>
            </w:r>
            <w:r>
              <w:rPr>
                <w:rFonts w:hint="eastAsia" w:ascii="宋体" w:hAnsi="宋体"/>
                <w:color w:val="auto"/>
                <w:sz w:val="24"/>
                <w:szCs w:val="24"/>
                <w:highlight w:val="none"/>
              </w:rPr>
              <w:t>×价格权重×</w:t>
            </w:r>
            <w:r>
              <w:rPr>
                <w:rFonts w:ascii="宋体" w:hAnsi="宋体"/>
                <w:color w:val="auto"/>
                <w:sz w:val="24"/>
                <w:szCs w:val="24"/>
                <w:highlight w:val="none"/>
              </w:rPr>
              <w:t>100</w:t>
            </w:r>
          </w:p>
          <w:p>
            <w:pPr>
              <w:spacing w:line="520" w:lineRule="exact"/>
              <w:rPr>
                <w:rFonts w:ascii="宋体" w:hAnsi="宋体"/>
                <w:color w:val="auto"/>
                <w:sz w:val="24"/>
                <w:szCs w:val="24"/>
                <w:highlight w:val="none"/>
              </w:rPr>
            </w:pPr>
            <w:r>
              <w:rPr>
                <w:rFonts w:hint="eastAsia" w:ascii="宋体" w:hAnsi="宋体"/>
                <w:color w:val="auto"/>
                <w:sz w:val="24"/>
                <w:szCs w:val="24"/>
                <w:highlight w:val="none"/>
              </w:rPr>
              <w:t>投标报价得分以四舍五入保留小数点后两位。</w:t>
            </w:r>
          </w:p>
        </w:tc>
        <w:tc>
          <w:tcPr>
            <w:tcW w:w="1339" w:type="dxa"/>
            <w:tcBorders>
              <w:top w:val="double" w:color="auto" w:sz="4" w:space="0"/>
              <w:right w:val="double" w:color="auto" w:sz="4" w:space="0"/>
            </w:tcBorders>
            <w:vAlign w:val="center"/>
          </w:tcPr>
          <w:p>
            <w:pPr>
              <w:spacing w:line="520" w:lineRule="exact"/>
              <w:jc w:val="center"/>
              <w:rPr>
                <w:rFonts w:ascii="宋体" w:hAnsi="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8279" w:type="dxa"/>
            <w:gridSpan w:val="2"/>
            <w:tcBorders>
              <w:left w:val="double" w:color="auto" w:sz="4" w:space="0"/>
              <w:bottom w:val="double" w:color="auto" w:sz="4" w:space="0"/>
            </w:tcBorders>
            <w:vAlign w:val="center"/>
          </w:tcPr>
          <w:p>
            <w:pPr>
              <w:spacing w:line="520" w:lineRule="exact"/>
              <w:jc w:val="center"/>
              <w:rPr>
                <w:rFonts w:ascii="宋体" w:hAnsi="宋体"/>
                <w:b/>
                <w:color w:val="auto"/>
                <w:sz w:val="24"/>
                <w:szCs w:val="24"/>
                <w:highlight w:val="none"/>
              </w:rPr>
            </w:pPr>
            <w:r>
              <w:rPr>
                <w:rFonts w:hint="eastAsia" w:ascii="宋体" w:hAnsi="宋体"/>
                <w:b/>
                <w:color w:val="auto"/>
                <w:sz w:val="24"/>
                <w:szCs w:val="24"/>
                <w:highlight w:val="none"/>
              </w:rPr>
              <w:t>报价得分（</w:t>
            </w:r>
            <w:r>
              <w:rPr>
                <w:rFonts w:hint="eastAsia" w:ascii="宋体" w:hAnsi="宋体"/>
                <w:b/>
                <w:color w:val="auto"/>
                <w:sz w:val="24"/>
                <w:szCs w:val="24"/>
                <w:highlight w:val="none"/>
                <w:lang w:val="en-US" w:eastAsia="zh-CN"/>
              </w:rPr>
              <w:t>3</w:t>
            </w:r>
            <w:r>
              <w:rPr>
                <w:rFonts w:hint="eastAsia" w:ascii="宋体" w:hAnsi="宋体"/>
                <w:b/>
                <w:color w:val="auto"/>
                <w:sz w:val="24"/>
                <w:szCs w:val="24"/>
                <w:highlight w:val="none"/>
              </w:rPr>
              <w:t>0分）</w:t>
            </w:r>
          </w:p>
        </w:tc>
        <w:tc>
          <w:tcPr>
            <w:tcW w:w="1339" w:type="dxa"/>
            <w:tcBorders>
              <w:bottom w:val="double" w:color="auto" w:sz="4" w:space="0"/>
              <w:right w:val="double" w:color="auto" w:sz="4" w:space="0"/>
            </w:tcBorders>
            <w:vAlign w:val="center"/>
          </w:tcPr>
          <w:p>
            <w:pPr>
              <w:spacing w:line="520" w:lineRule="exact"/>
              <w:jc w:val="center"/>
              <w:rPr>
                <w:rFonts w:ascii="宋体" w:hAnsi="宋体"/>
                <w:color w:val="auto"/>
                <w:sz w:val="24"/>
                <w:szCs w:val="24"/>
                <w:highlight w:val="none"/>
              </w:rPr>
            </w:pPr>
          </w:p>
        </w:tc>
      </w:tr>
    </w:tbl>
    <w:p>
      <w:pPr>
        <w:rPr>
          <w:rFonts w:ascii="黑体" w:hAnsi="宋体" w:eastAsia="黑体"/>
          <w:color w:val="auto"/>
          <w:sz w:val="24"/>
          <w:szCs w:val="24"/>
          <w:highlight w:val="none"/>
        </w:rPr>
      </w:pPr>
      <w:r>
        <w:rPr>
          <w:rFonts w:ascii="黑体" w:hAnsi="宋体" w:eastAsia="黑体"/>
          <w:color w:val="auto"/>
          <w:sz w:val="24"/>
          <w:szCs w:val="24"/>
          <w:highlight w:val="none"/>
        </w:rPr>
        <w:br w:type="page"/>
      </w:r>
    </w:p>
    <w:p>
      <w:pPr>
        <w:pStyle w:val="8"/>
        <w:ind w:firstLine="210"/>
        <w:rPr>
          <w:color w:val="auto"/>
          <w:highlight w:val="none"/>
        </w:rPr>
      </w:pPr>
    </w:p>
    <w:p>
      <w:pPr>
        <w:spacing w:line="520" w:lineRule="exact"/>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第五章合同主要条款</w:t>
      </w:r>
    </w:p>
    <w:bookmarkEnd w:id="0"/>
    <w:p>
      <w:pPr>
        <w:spacing w:line="520" w:lineRule="exact"/>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合同参考范本</w:t>
      </w:r>
    </w:p>
    <w:p>
      <w:pPr>
        <w:spacing w:line="400" w:lineRule="exact"/>
        <w:jc w:val="center"/>
        <w:rPr>
          <w:rFonts w:hint="eastAsia" w:eastAsia="宋体"/>
          <w:lang w:eastAsia="zh-CN"/>
        </w:rPr>
      </w:pPr>
      <w:r>
        <w:rPr>
          <w:rFonts w:ascii="宋体" w:hAnsi="宋体"/>
          <w:szCs w:val="21"/>
        </w:rPr>
        <w:t>（合同模板仅供参考，实际以签订为准）</w:t>
      </w:r>
    </w:p>
    <w:p>
      <w:pPr>
        <w:pStyle w:val="35"/>
        <w:rPr>
          <w:rFonts w:hint="eastAsia"/>
        </w:rPr>
      </w:pPr>
    </w:p>
    <w:p>
      <w:pPr>
        <w:spacing w:line="520" w:lineRule="exact"/>
        <w:jc w:val="center"/>
        <w:rPr>
          <w:rFonts w:hint="eastAsia" w:ascii="宋体" w:hAnsi="宋体" w:eastAsia="宋体" w:cs="宋体"/>
          <w:b/>
          <w:color w:val="auto"/>
          <w:sz w:val="32"/>
          <w:szCs w:val="32"/>
          <w:highlight w:val="none"/>
        </w:rPr>
      </w:pPr>
      <w:bookmarkStart w:id="17" w:name="OLE_LINK21"/>
      <w:r>
        <w:rPr>
          <w:rFonts w:hint="eastAsia" w:ascii="宋体" w:hAnsi="宋体" w:eastAsia="宋体" w:cs="宋体"/>
          <w:b/>
          <w:color w:val="auto"/>
          <w:sz w:val="32"/>
          <w:szCs w:val="32"/>
          <w:highlight w:val="none"/>
        </w:rPr>
        <w:t>分布式光伏发电项目能源管理合同</w:t>
      </w:r>
    </w:p>
    <w:p>
      <w:pPr>
        <w:spacing w:beforeLines="0" w:afterLines="0" w:line="240" w:lineRule="auto"/>
        <w:ind w:leftChars="0" w:rightChars="0" w:firstLineChars="200"/>
        <w:jc w:val="both"/>
        <w:rPr>
          <w:rFonts w:ascii="宋体" w:hAnsi="宋体" w:eastAsia="宋体" w:cs="宋体"/>
          <w:b w:val="0"/>
          <w:i w:val="0"/>
          <w:strike w:val="0"/>
          <w:dstrike w:val="0"/>
          <w:color w:val="000000"/>
          <w:sz w:val="18"/>
        </w:rPr>
      </w:pPr>
    </w:p>
    <w:p>
      <w:pPr>
        <w:spacing w:beforeLines="0" w:afterLines="0" w:line="240" w:lineRule="auto"/>
        <w:ind w:leftChars="0" w:rightChars="0" w:firstLineChars="200"/>
        <w:jc w:val="both"/>
        <w:rPr>
          <w:rFonts w:ascii="宋体" w:hAnsi="宋体" w:eastAsia="宋体" w:cs="宋体"/>
          <w:b w:val="0"/>
          <w:i w:val="0"/>
          <w:strike w:val="0"/>
          <w:dstrike w:val="0"/>
          <w:color w:val="000000"/>
          <w:sz w:val="18"/>
        </w:rPr>
      </w:pPr>
    </w:p>
    <w:p>
      <w:pPr>
        <w:spacing w:beforeLines="0" w:afterLines="0" w:line="360" w:lineRule="auto"/>
        <w:ind w:leftChars="0" w:rightChars="0" w:firstLineChars="200"/>
        <w:jc w:val="both"/>
        <w:rPr>
          <w:rFonts w:ascii="宋体" w:hAnsi="宋体" w:eastAsia="宋体" w:cs="宋体"/>
          <w:b w:val="0"/>
          <w:i w:val="0"/>
          <w:strike w:val="0"/>
          <w:dstrike w:val="0"/>
          <w:color w:val="000000"/>
          <w:sz w:val="24"/>
          <w:szCs w:val="24"/>
        </w:rPr>
      </w:pPr>
      <w:r>
        <w:rPr>
          <w:rFonts w:ascii="宋体" w:hAnsi="宋体" w:eastAsia="宋体" w:cs="宋体"/>
          <w:b/>
          <w:bCs/>
          <w:i w:val="0"/>
          <w:strike w:val="0"/>
          <w:dstrike w:val="0"/>
          <w:color w:val="000000"/>
          <w:sz w:val="24"/>
          <w:szCs w:val="24"/>
        </w:rPr>
        <w:t>甲方（业主）</w:t>
      </w:r>
      <w:r>
        <w:rPr>
          <w:rFonts w:ascii="宋体" w:hAnsi="宋体" w:eastAsia="宋体" w:cs="宋体"/>
          <w:b w:val="0"/>
          <w:i w:val="0"/>
          <w:strike w:val="0"/>
          <w:dstrike w:val="0"/>
          <w:color w:val="000000"/>
          <w:sz w:val="24"/>
          <w:szCs w:val="24"/>
        </w:rPr>
        <w:t>：</w:t>
      </w:r>
    </w:p>
    <w:p>
      <w:pPr>
        <w:spacing w:beforeLines="0" w:afterLines="0" w:line="360" w:lineRule="auto"/>
        <w:ind w:leftChars="0" w:rightChars="0" w:firstLineChars="200"/>
        <w:jc w:val="both"/>
        <w:rPr>
          <w:rFonts w:ascii="宋体" w:hAnsi="宋体" w:eastAsia="宋体" w:cs="宋体"/>
          <w:b w:val="0"/>
          <w:i w:val="0"/>
          <w:strike w:val="0"/>
          <w:dstrike w:val="0"/>
          <w:color w:val="000000"/>
          <w:sz w:val="24"/>
          <w:szCs w:val="24"/>
        </w:rPr>
      </w:pPr>
      <w:r>
        <w:rPr>
          <w:rFonts w:ascii="宋体" w:hAnsi="宋体" w:eastAsia="宋体" w:cs="宋体"/>
          <w:b/>
          <w:bCs/>
          <w:i w:val="0"/>
          <w:strike w:val="0"/>
          <w:dstrike w:val="0"/>
          <w:color w:val="000000"/>
          <w:sz w:val="24"/>
          <w:szCs w:val="24"/>
        </w:rPr>
        <w:t>乙方（电站投资方）</w:t>
      </w:r>
      <w:r>
        <w:rPr>
          <w:rFonts w:ascii="宋体" w:hAnsi="宋体" w:eastAsia="宋体" w:cs="宋体"/>
          <w:b w:val="0"/>
          <w:i w:val="0"/>
          <w:strike w:val="0"/>
          <w:dstrike w:val="0"/>
          <w:color w:val="000000"/>
          <w:sz w:val="24"/>
          <w:szCs w:val="24"/>
        </w:rPr>
        <w:t>：</w:t>
      </w:r>
    </w:p>
    <w:p>
      <w:pPr>
        <w:spacing w:beforeLines="0" w:afterLines="0" w:line="360" w:lineRule="auto"/>
        <w:ind w:leftChars="0" w:rightChars="0" w:firstLineChars="200"/>
        <w:jc w:val="both"/>
        <w:rPr>
          <w:rFonts w:ascii="宋体" w:hAnsi="宋体" w:eastAsia="宋体" w:cs="宋体"/>
          <w:b w:val="0"/>
          <w:i w:val="0"/>
          <w:strike w:val="0"/>
          <w:dstrike w:val="0"/>
          <w:color w:val="000000"/>
          <w:sz w:val="24"/>
          <w:szCs w:val="24"/>
        </w:rPr>
      </w:pPr>
      <w:r>
        <w:rPr>
          <w:rFonts w:ascii="宋体" w:hAnsi="宋体" w:eastAsia="宋体" w:cs="宋体"/>
          <w:b/>
          <w:bCs/>
          <w:i w:val="0"/>
          <w:strike w:val="0"/>
          <w:dstrike w:val="0"/>
          <w:color w:val="000000"/>
          <w:sz w:val="24"/>
          <w:szCs w:val="24"/>
        </w:rPr>
        <w:t>时间</w:t>
      </w:r>
      <w:r>
        <w:rPr>
          <w:rFonts w:ascii="宋体" w:hAnsi="宋体" w:eastAsia="宋体" w:cs="宋体"/>
          <w:b w:val="0"/>
          <w:i w:val="0"/>
          <w:strike w:val="0"/>
          <w:dstrike w:val="0"/>
          <w:color w:val="000000"/>
          <w:sz w:val="24"/>
          <w:szCs w:val="24"/>
        </w:rPr>
        <w:t>：[    ]年[    ]月[    ]日</w:t>
      </w:r>
    </w:p>
    <w:p>
      <w:pPr>
        <w:spacing w:beforeLines="0" w:afterLines="0" w:line="360" w:lineRule="auto"/>
        <w:ind w:leftChars="0" w:rightChars="0" w:firstLineChars="200"/>
        <w:jc w:val="both"/>
        <w:rPr>
          <w:rFonts w:ascii="宋体" w:hAnsi="宋体" w:eastAsia="宋体" w:cs="宋体"/>
          <w:b w:val="0"/>
          <w:i w:val="0"/>
          <w:strike w:val="0"/>
          <w:dstrike w:val="0"/>
          <w:color w:val="000000"/>
          <w:sz w:val="24"/>
          <w:szCs w:val="24"/>
        </w:rPr>
      </w:pPr>
      <w:r>
        <w:rPr>
          <w:rFonts w:ascii="宋体" w:hAnsi="宋体" w:eastAsia="宋体" w:cs="宋体"/>
          <w:b/>
          <w:bCs/>
          <w:i w:val="0"/>
          <w:strike w:val="0"/>
          <w:dstrike w:val="0"/>
          <w:color w:val="000000"/>
          <w:sz w:val="24"/>
          <w:szCs w:val="24"/>
        </w:rPr>
        <w:t>签署地点</w:t>
      </w:r>
      <w:r>
        <w:rPr>
          <w:rFonts w:ascii="宋体" w:hAnsi="宋体" w:eastAsia="宋体" w:cs="宋体"/>
          <w:b w:val="0"/>
          <w:i w:val="0"/>
          <w:strike w:val="0"/>
          <w:dstrike w:val="0"/>
          <w:color w:val="000000"/>
          <w:sz w:val="24"/>
          <w:szCs w:val="24"/>
        </w:rPr>
        <w:t>：</w:t>
      </w:r>
    </w:p>
    <w:p>
      <w:pPr>
        <w:spacing w:beforeLines="0" w:afterLines="0" w:line="240" w:lineRule="auto"/>
        <w:ind w:leftChars="0" w:rightChars="0" w:firstLineChars="0"/>
        <w:jc w:val="both"/>
        <w:rPr>
          <w:rFonts w:ascii="宋体" w:hAnsi="宋体" w:eastAsia="宋体" w:cs="宋体"/>
          <w:b w:val="0"/>
          <w:i w:val="0"/>
          <w:strike w:val="0"/>
          <w:dstrike w:val="0"/>
          <w:color w:val="000000"/>
          <w:sz w:val="24"/>
          <w:szCs w:val="24"/>
        </w:rPr>
      </w:pPr>
    </w:p>
    <w:p>
      <w:pPr>
        <w:spacing w:beforeLines="0" w:afterLines="0" w:line="240" w:lineRule="auto"/>
        <w:ind w:leftChars="0" w:rightChars="0" w:firstLineChars="200"/>
        <w:jc w:val="both"/>
        <w:rPr>
          <w:sz w:val="24"/>
          <w:szCs w:val="24"/>
        </w:rPr>
      </w:pPr>
      <w:r>
        <w:rPr>
          <w:rFonts w:ascii="宋体" w:hAnsi="宋体" w:eastAsia="宋体" w:cs="宋体"/>
          <w:b w:val="0"/>
          <w:i w:val="0"/>
          <w:strike w:val="0"/>
          <w:dstrike w:val="0"/>
          <w:color w:val="000000"/>
          <w:sz w:val="24"/>
          <w:szCs w:val="24"/>
        </w:rPr>
        <w:t>甲乙双方经友好协商，依据《中华人民共和国民法典》《合同能源管理技术通则》及其他有关法律、行政法规，遵循平等、自愿、公平和诚实守信的原则，甲乙双方就</w:t>
      </w:r>
      <w:r>
        <w:rPr>
          <w:rFonts w:ascii="宋体" w:hAnsi="宋体" w:eastAsia="宋体" w:cs="宋体"/>
          <w:b w:val="0"/>
          <w:i w:val="0"/>
          <w:strike w:val="0"/>
          <w:dstrike w:val="0"/>
          <w:color w:val="000000"/>
          <w:sz w:val="24"/>
          <w:szCs w:val="24"/>
          <w:u w:val="single"/>
        </w:rPr>
        <w:t xml:space="preserve">                 </w:t>
      </w:r>
      <w:r>
        <w:rPr>
          <w:rFonts w:ascii="宋体" w:hAnsi="宋体" w:eastAsia="宋体" w:cs="宋体"/>
          <w:b w:val="0"/>
          <w:i w:val="0"/>
          <w:strike w:val="0"/>
          <w:dstrike w:val="0"/>
          <w:color w:val="000000"/>
          <w:sz w:val="24"/>
          <w:szCs w:val="24"/>
        </w:rPr>
        <w:t xml:space="preserve">MW项目（以下简称“本项目”），在真实、充分地表达各自意愿的基础上协商一致，签订本合同，并由双方共同恪守。 </w:t>
      </w:r>
    </w:p>
    <w:p>
      <w:pPr>
        <w:widowControl/>
        <w:spacing w:beforeLines="50" w:afterLines="50" w:line="240" w:lineRule="auto"/>
        <w:ind w:leftChars="200" w:rightChars="0" w:firstLine="0" w:firstLineChars="0"/>
        <w:jc w:val="both"/>
        <w:rPr>
          <w:sz w:val="24"/>
          <w:szCs w:val="24"/>
        </w:rPr>
      </w:pPr>
      <w:r>
        <w:rPr>
          <w:rFonts w:ascii="宋体" w:hAnsi="宋体" w:eastAsia="宋体" w:cs="宋体"/>
          <w:b/>
          <w:i w:val="0"/>
          <w:strike w:val="0"/>
          <w:dstrike w:val="0"/>
          <w:color w:val="000000"/>
          <w:sz w:val="24"/>
          <w:szCs w:val="24"/>
        </w:rPr>
        <w:t>第一条：项目名称、地点及规模</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1.1</w:t>
      </w:r>
      <w:r>
        <w:rPr>
          <w:rFonts w:ascii="宋体" w:hAnsi="宋体" w:eastAsia="宋体" w:cs="宋体"/>
          <w:b w:val="0"/>
          <w:i w:val="0"/>
          <w:strike w:val="0"/>
          <w:dstrike w:val="0"/>
          <w:color w:val="000000"/>
          <w:sz w:val="24"/>
          <w:szCs w:val="24"/>
        </w:rPr>
        <w:t>项目名称：</w:t>
      </w:r>
      <w:r>
        <w:rPr>
          <w:rFonts w:ascii="宋体" w:hAnsi="宋体" w:eastAsia="宋体" w:cs="宋体"/>
          <w:b w:val="0"/>
          <w:i w:val="0"/>
          <w:strike w:val="0"/>
          <w:dstrike w:val="0"/>
          <w:color w:val="000000"/>
          <w:sz w:val="24"/>
          <w:szCs w:val="24"/>
          <w:u w:val="single"/>
        </w:rPr>
        <w:t xml:space="preserve">                                       </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1.2</w:t>
      </w:r>
      <w:r>
        <w:rPr>
          <w:rFonts w:ascii="宋体" w:hAnsi="宋体" w:eastAsia="宋体" w:cs="宋体"/>
          <w:b w:val="0"/>
          <w:i w:val="0"/>
          <w:strike w:val="0"/>
          <w:dstrike w:val="0"/>
          <w:color w:val="000000"/>
          <w:sz w:val="24"/>
          <w:szCs w:val="24"/>
        </w:rPr>
        <w:t>项目地点：</w:t>
      </w:r>
      <w:r>
        <w:rPr>
          <w:rFonts w:ascii="宋体" w:hAnsi="宋体" w:eastAsia="宋体" w:cs="宋体"/>
          <w:b w:val="0"/>
          <w:i w:val="0"/>
          <w:strike w:val="0"/>
          <w:dstrike w:val="0"/>
          <w:color w:val="000000"/>
          <w:sz w:val="24"/>
          <w:szCs w:val="24"/>
          <w:u w:val="single"/>
        </w:rPr>
        <w:t xml:space="preserve">                                       </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1.3</w:t>
      </w:r>
      <w:r>
        <w:rPr>
          <w:rFonts w:ascii="宋体" w:hAnsi="宋体" w:eastAsia="宋体" w:cs="宋体"/>
          <w:b w:val="0"/>
          <w:i w:val="0"/>
          <w:strike w:val="0"/>
          <w:dstrike w:val="0"/>
          <w:color w:val="000000"/>
          <w:sz w:val="24"/>
          <w:szCs w:val="24"/>
        </w:rPr>
        <w:t>项目规模：本项目电站预估装机容量为</w:t>
      </w:r>
      <w:r>
        <w:rPr>
          <w:rFonts w:ascii="宋体" w:hAnsi="宋体" w:eastAsia="宋体" w:cs="宋体"/>
          <w:b w:val="0"/>
          <w:i w:val="0"/>
          <w:strike w:val="0"/>
          <w:dstrike w:val="0"/>
          <w:color w:val="000000"/>
          <w:sz w:val="24"/>
          <w:szCs w:val="24"/>
          <w:u w:val="single"/>
        </w:rPr>
        <w:t xml:space="preserve">    </w:t>
      </w:r>
      <w:r>
        <w:rPr>
          <w:rFonts w:ascii="宋体" w:hAnsi="宋体" w:eastAsia="宋体" w:cs="宋体"/>
          <w:b w:val="0"/>
          <w:i w:val="0"/>
          <w:strike w:val="0"/>
          <w:dstrike w:val="0"/>
          <w:color w:val="000000"/>
          <w:sz w:val="24"/>
          <w:szCs w:val="24"/>
        </w:rPr>
        <w:t>MW，具体规模以项目建成验收后实际并网容量为准。</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1.4屋顶</w:t>
      </w:r>
      <w:r>
        <w:rPr>
          <w:rFonts w:ascii="宋体" w:hAnsi="宋体" w:eastAsia="宋体" w:cs="宋体"/>
          <w:b w:val="0"/>
          <w:i w:val="0"/>
          <w:strike w:val="0"/>
          <w:dstrike w:val="0"/>
          <w:color w:val="000000"/>
          <w:sz w:val="24"/>
          <w:szCs w:val="24"/>
        </w:rPr>
        <w:t>结构：</w:t>
      </w:r>
      <w:r>
        <w:rPr>
          <w:rFonts w:ascii="宋体" w:hAnsi="宋体" w:eastAsia="宋体" w:cs="宋体"/>
          <w:b w:val="0"/>
          <w:i w:val="0"/>
          <w:strike w:val="0"/>
          <w:dstrike w:val="0"/>
          <w:color w:val="000000"/>
          <w:sz w:val="24"/>
          <w:szCs w:val="24"/>
          <w:u w:val="single"/>
        </w:rPr>
        <w:t xml:space="preserve">                                       </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1.5</w:t>
      </w:r>
      <w:r>
        <w:rPr>
          <w:rFonts w:ascii="宋体" w:hAnsi="宋体" w:eastAsia="宋体" w:cs="宋体"/>
          <w:b w:val="0"/>
          <w:i w:val="0"/>
          <w:strike w:val="0"/>
          <w:dstrike w:val="0"/>
          <w:color w:val="000000"/>
          <w:sz w:val="24"/>
          <w:szCs w:val="24"/>
        </w:rPr>
        <w:t>安装方式：</w:t>
      </w:r>
      <w:r>
        <w:rPr>
          <w:rFonts w:ascii="宋体" w:hAnsi="宋体" w:eastAsia="宋体" w:cs="宋体"/>
          <w:b w:val="0"/>
          <w:i w:val="0"/>
          <w:strike w:val="0"/>
          <w:dstrike w:val="0"/>
          <w:color w:val="000000"/>
          <w:sz w:val="24"/>
          <w:szCs w:val="24"/>
          <w:u w:val="single"/>
        </w:rPr>
        <w:t xml:space="preserve">                                       </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sz w:val="24"/>
          <w:szCs w:val="24"/>
          <w:lang w:val="en-US" w:eastAsia="zh-CN"/>
        </w:rPr>
        <w:t>1.6</w:t>
      </w:r>
      <w:r>
        <w:rPr>
          <w:rFonts w:ascii="宋体" w:hAnsi="宋体" w:eastAsia="宋体" w:cs="宋体"/>
          <w:sz w:val="24"/>
          <w:szCs w:val="24"/>
        </w:rPr>
        <w:t>本项目分两期实施，一期装机容量不超过0.564MWp（以实际为准），二期建设范围由甲方书面确认。</w:t>
      </w:r>
    </w:p>
    <w:p>
      <w:pPr>
        <w:widowControl/>
        <w:spacing w:beforeLines="50" w:afterLines="50" w:line="240" w:lineRule="auto"/>
        <w:ind w:leftChars="200" w:rightChars="0" w:firstLine="0" w:firstLineChars="0"/>
        <w:jc w:val="both"/>
        <w:rPr>
          <w:sz w:val="24"/>
          <w:szCs w:val="24"/>
        </w:rPr>
      </w:pPr>
      <w:r>
        <w:rPr>
          <w:rFonts w:ascii="宋体" w:hAnsi="宋体" w:eastAsia="宋体" w:cs="宋体"/>
          <w:b/>
          <w:i w:val="0"/>
          <w:strike w:val="0"/>
          <w:dstrike w:val="0"/>
          <w:color w:val="000000"/>
          <w:sz w:val="24"/>
          <w:szCs w:val="24"/>
        </w:rPr>
        <w:t>第二条：房屋租赁及项目期限</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2.1</w:t>
      </w:r>
      <w:r>
        <w:rPr>
          <w:rFonts w:ascii="宋体" w:hAnsi="宋体" w:eastAsia="宋体" w:cs="宋体"/>
          <w:b w:val="0"/>
          <w:i w:val="0"/>
          <w:strike w:val="0"/>
          <w:dstrike w:val="0"/>
          <w:color w:val="000000"/>
          <w:sz w:val="24"/>
          <w:szCs w:val="24"/>
        </w:rPr>
        <w:t>【租赁面积】甲方将其拥有合法产权的位于</w:t>
      </w:r>
      <w:r>
        <w:rPr>
          <w:rFonts w:ascii="宋体" w:hAnsi="宋体" w:eastAsia="宋体" w:cs="宋体"/>
          <w:b w:val="0"/>
          <w:i w:val="0"/>
          <w:strike w:val="0"/>
          <w:dstrike w:val="0"/>
          <w:color w:val="000000"/>
          <w:sz w:val="24"/>
          <w:szCs w:val="24"/>
          <w:u w:val="single"/>
        </w:rPr>
        <w:t xml:space="preserve">                </w:t>
      </w:r>
      <w:r>
        <w:rPr>
          <w:rFonts w:ascii="宋体" w:hAnsi="宋体" w:eastAsia="宋体" w:cs="宋体"/>
          <w:b w:val="0"/>
          <w:i w:val="0"/>
          <w:strike w:val="0"/>
          <w:dstrike w:val="0"/>
          <w:color w:val="000000"/>
          <w:sz w:val="24"/>
          <w:szCs w:val="24"/>
        </w:rPr>
        <w:t>，面积总计约为</w:t>
      </w:r>
      <w:r>
        <w:rPr>
          <w:rFonts w:ascii="宋体" w:hAnsi="宋体" w:eastAsia="宋体" w:cs="宋体"/>
          <w:b w:val="0"/>
          <w:i w:val="0"/>
          <w:strike w:val="0"/>
          <w:dstrike w:val="0"/>
          <w:color w:val="000000"/>
          <w:sz w:val="24"/>
          <w:szCs w:val="24"/>
          <w:u w:val="single"/>
        </w:rPr>
        <w:t xml:space="preserve">             </w:t>
      </w:r>
      <w:r>
        <w:rPr>
          <w:rFonts w:ascii="宋体" w:hAnsi="宋体" w:eastAsia="宋体" w:cs="宋体"/>
          <w:b w:val="0"/>
          <w:i w:val="0"/>
          <w:strike w:val="0"/>
          <w:dstrike w:val="0"/>
          <w:color w:val="000000"/>
          <w:sz w:val="24"/>
          <w:szCs w:val="24"/>
        </w:rPr>
        <w:t>平方米（</w:t>
      </w:r>
      <w:r>
        <w:rPr>
          <w:rFonts w:hint="eastAsia" w:ascii="宋体" w:hAnsi="宋体" w:cs="宋体"/>
          <w:color w:val="000000"/>
          <w:sz w:val="24"/>
          <w:szCs w:val="24"/>
        </w:rPr>
        <w:t>以最终</w:t>
      </w:r>
      <w:r>
        <w:rPr>
          <w:rFonts w:hint="eastAsia" w:ascii="宋体" w:hAnsi="宋体" w:cs="宋体"/>
          <w:color w:val="000000"/>
          <w:sz w:val="24"/>
          <w:szCs w:val="24"/>
          <w:lang w:val="en-US" w:eastAsia="zh-CN"/>
        </w:rPr>
        <w:t>铺设的</w:t>
      </w:r>
      <w:r>
        <w:rPr>
          <w:rFonts w:hint="eastAsia" w:ascii="宋体" w:hAnsi="宋体" w:cs="宋体"/>
          <w:color w:val="000000"/>
          <w:sz w:val="24"/>
          <w:szCs w:val="24"/>
        </w:rPr>
        <w:t>光伏板</w:t>
      </w:r>
      <w:r>
        <w:rPr>
          <w:rFonts w:hint="eastAsia" w:ascii="宋体" w:hAnsi="宋体" w:cs="宋体"/>
          <w:color w:val="000000"/>
          <w:sz w:val="24"/>
          <w:szCs w:val="24"/>
          <w:lang w:val="en-US" w:eastAsia="zh-CN"/>
        </w:rPr>
        <w:t>垂直投影</w:t>
      </w:r>
      <w:r>
        <w:rPr>
          <w:rFonts w:hint="eastAsia" w:ascii="宋体" w:hAnsi="宋体" w:cs="宋体"/>
          <w:color w:val="000000"/>
          <w:sz w:val="24"/>
          <w:szCs w:val="24"/>
        </w:rPr>
        <w:t>面积为准</w:t>
      </w:r>
      <w:r>
        <w:rPr>
          <w:rFonts w:ascii="宋体" w:hAnsi="宋体" w:eastAsia="宋体" w:cs="宋体"/>
          <w:b w:val="0"/>
          <w:i w:val="0"/>
          <w:strike w:val="0"/>
          <w:dstrike w:val="0"/>
          <w:color w:val="000000"/>
          <w:sz w:val="24"/>
          <w:szCs w:val="24"/>
        </w:rPr>
        <w:t>），可安装光伏设备设施的建筑物或构筑物的</w:t>
      </w:r>
      <w:r>
        <w:rPr>
          <w:rFonts w:hint="eastAsia" w:ascii="宋体" w:hAnsi="宋体" w:cs="宋体"/>
          <w:b w:val="0"/>
          <w:i w:val="0"/>
          <w:strike w:val="0"/>
          <w:dstrike w:val="0"/>
          <w:color w:val="000000"/>
          <w:sz w:val="24"/>
          <w:szCs w:val="24"/>
          <w:lang w:val="en-US" w:eastAsia="zh-CN"/>
        </w:rPr>
        <w:t>屋顶</w:t>
      </w:r>
      <w:r>
        <w:rPr>
          <w:rFonts w:ascii="宋体" w:hAnsi="宋体" w:eastAsia="宋体" w:cs="宋体"/>
          <w:b w:val="0"/>
          <w:i w:val="0"/>
          <w:strike w:val="0"/>
          <w:dstrike w:val="0"/>
          <w:color w:val="000000"/>
          <w:sz w:val="24"/>
          <w:szCs w:val="24"/>
        </w:rPr>
        <w:t>、场地（“租赁标的物”）提供给乙方建设分布式光伏电站。</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b w:val="0"/>
          <w:i w:val="0"/>
          <w:strike w:val="0"/>
          <w:dstrike w:val="0"/>
          <w:color w:val="000000"/>
          <w:sz w:val="24"/>
          <w:szCs w:val="24"/>
        </w:rPr>
      </w:pPr>
      <w:r>
        <w:rPr>
          <w:rFonts w:hint="eastAsia" w:ascii="宋体" w:hAnsi="宋体" w:cs="宋体"/>
          <w:b w:val="0"/>
          <w:i w:val="0"/>
          <w:strike w:val="0"/>
          <w:dstrike w:val="0"/>
          <w:color w:val="000000"/>
          <w:sz w:val="24"/>
          <w:szCs w:val="24"/>
          <w:lang w:val="en-US" w:eastAsia="zh-CN"/>
        </w:rPr>
        <w:t>2.2</w:t>
      </w:r>
      <w:r>
        <w:rPr>
          <w:rFonts w:ascii="宋体" w:hAnsi="宋体" w:eastAsia="宋体" w:cs="宋体"/>
          <w:b w:val="0"/>
          <w:i w:val="0"/>
          <w:strike w:val="0"/>
          <w:dstrike w:val="0"/>
          <w:color w:val="000000"/>
          <w:sz w:val="24"/>
          <w:szCs w:val="24"/>
        </w:rPr>
        <w:t>【租赁期限】乙方租赁甲方的</w:t>
      </w:r>
      <w:r>
        <w:rPr>
          <w:rFonts w:hint="eastAsia" w:ascii="宋体" w:hAnsi="宋体" w:cs="宋体"/>
          <w:b w:val="0"/>
          <w:i w:val="0"/>
          <w:strike w:val="0"/>
          <w:dstrike w:val="0"/>
          <w:color w:val="000000"/>
          <w:sz w:val="24"/>
          <w:szCs w:val="24"/>
          <w:lang w:eastAsia="zh-CN"/>
        </w:rPr>
        <w:t>租赁标的物</w:t>
      </w:r>
      <w:r>
        <w:rPr>
          <w:rFonts w:ascii="宋体" w:hAnsi="宋体" w:eastAsia="宋体" w:cs="宋体"/>
          <w:b w:val="0"/>
          <w:i w:val="0"/>
          <w:strike w:val="0"/>
          <w:dstrike w:val="0"/>
          <w:color w:val="000000"/>
          <w:sz w:val="24"/>
          <w:szCs w:val="24"/>
        </w:rPr>
        <w:t>期限自本协议生效之日起</w:t>
      </w:r>
      <w:r>
        <w:rPr>
          <w:rFonts w:hint="eastAsia" w:ascii="宋体" w:hAnsi="宋体" w:eastAsia="宋体" w:cs="宋体"/>
          <w:b w:val="0"/>
          <w:i w:val="0"/>
          <w:strike w:val="0"/>
          <w:dstrike w:val="0"/>
          <w:color w:val="000000"/>
          <w:sz w:val="24"/>
          <w:szCs w:val="24"/>
          <w:u w:val="single"/>
          <w:lang w:val="en-US" w:eastAsia="zh-CN"/>
        </w:rPr>
        <w:t xml:space="preserve"> </w:t>
      </w:r>
      <w:r>
        <w:rPr>
          <w:rFonts w:hint="eastAsia" w:ascii="宋体" w:hAnsi="宋体" w:cs="宋体"/>
          <w:b w:val="0"/>
          <w:i w:val="0"/>
          <w:strike w:val="0"/>
          <w:dstrike w:val="0"/>
          <w:color w:val="000000"/>
          <w:sz w:val="24"/>
          <w:szCs w:val="24"/>
          <w:u w:val="single"/>
          <w:lang w:val="en-US" w:eastAsia="zh-CN"/>
        </w:rPr>
        <w:t xml:space="preserve"> </w:t>
      </w:r>
      <w:r>
        <w:rPr>
          <w:rFonts w:ascii="宋体" w:hAnsi="宋体" w:eastAsia="宋体" w:cs="宋体"/>
          <w:b w:val="0"/>
          <w:i w:val="0"/>
          <w:strike w:val="0"/>
          <w:dstrike w:val="0"/>
          <w:color w:val="000000"/>
          <w:sz w:val="24"/>
          <w:szCs w:val="24"/>
        </w:rPr>
        <w:t>年。</w:t>
      </w:r>
      <w:r>
        <w:rPr>
          <w:rFonts w:hint="eastAsia" w:ascii="宋体" w:hAnsi="宋体" w:eastAsia="宋体" w:cs="宋体"/>
          <w:b w:val="0"/>
          <w:i w:val="0"/>
          <w:strike w:val="0"/>
          <w:dstrike w:val="0"/>
          <w:color w:val="000000"/>
          <w:sz w:val="24"/>
          <w:szCs w:val="24"/>
          <w:u w:val="none"/>
          <w:lang w:val="en-US" w:eastAsia="zh-CN"/>
        </w:rPr>
        <w:t xml:space="preserve"> </w:t>
      </w:r>
      <w:r>
        <w:rPr>
          <w:rFonts w:hint="eastAsia" w:ascii="宋体" w:hAnsi="宋体" w:cs="宋体"/>
          <w:b w:val="0"/>
          <w:i w:val="0"/>
          <w:strike w:val="0"/>
          <w:dstrike w:val="0"/>
          <w:color w:val="000000"/>
          <w:sz w:val="24"/>
          <w:szCs w:val="24"/>
          <w:u w:val="none"/>
          <w:lang w:val="en-US" w:eastAsia="zh-CN"/>
        </w:rPr>
        <w:t xml:space="preserve"> </w:t>
      </w:r>
      <w:r>
        <w:rPr>
          <w:rFonts w:hint="eastAsia" w:ascii="宋体" w:hAnsi="宋体" w:cs="宋体"/>
          <w:b w:val="0"/>
          <w:i w:val="0"/>
          <w:strike w:val="0"/>
          <w:dstrike w:val="0"/>
          <w:color w:val="000000"/>
          <w:sz w:val="24"/>
          <w:szCs w:val="24"/>
          <w:lang w:val="en-US" w:eastAsia="zh-CN"/>
        </w:rPr>
        <w:t xml:space="preserve">  </w:t>
      </w:r>
      <w:r>
        <w:rPr>
          <w:rFonts w:ascii="宋体" w:hAnsi="宋体" w:eastAsia="宋体" w:cs="宋体"/>
          <w:b w:val="0"/>
          <w:i w:val="0"/>
          <w:strike w:val="0"/>
          <w:dstrike w:val="0"/>
          <w:color w:val="000000"/>
          <w:sz w:val="24"/>
          <w:szCs w:val="24"/>
        </w:rPr>
        <w:t>年期限届满后，租赁期限应自动续期至项目的节能效益分享期满之日。</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b w:val="0"/>
          <w:i w:val="0"/>
          <w:strike w:val="0"/>
          <w:dstrike w:val="0"/>
          <w:color w:val="000000"/>
          <w:sz w:val="24"/>
          <w:szCs w:val="24"/>
        </w:rPr>
      </w:pPr>
      <w:r>
        <w:rPr>
          <w:rFonts w:hint="eastAsia" w:ascii="宋体" w:hAnsi="宋体" w:cs="宋体"/>
          <w:b w:val="0"/>
          <w:i w:val="0"/>
          <w:strike w:val="0"/>
          <w:dstrike w:val="0"/>
          <w:color w:val="000000"/>
          <w:sz w:val="24"/>
          <w:szCs w:val="24"/>
          <w:lang w:val="en-US" w:eastAsia="zh-CN"/>
        </w:rPr>
        <w:t>2.3</w:t>
      </w:r>
      <w:r>
        <w:rPr>
          <w:rFonts w:ascii="宋体" w:hAnsi="宋体" w:eastAsia="宋体" w:cs="宋体"/>
          <w:b w:val="0"/>
          <w:i w:val="0"/>
          <w:strike w:val="0"/>
          <w:dstrike w:val="0"/>
          <w:color w:val="000000"/>
          <w:sz w:val="24"/>
          <w:szCs w:val="24"/>
        </w:rPr>
        <w:t>【租金】本合同下，乙方</w:t>
      </w:r>
      <w:r>
        <w:rPr>
          <w:rFonts w:hint="eastAsia" w:ascii="宋体" w:hAnsi="宋体" w:eastAsia="宋体" w:cs="宋体"/>
          <w:b w:val="0"/>
          <w:i w:val="0"/>
          <w:strike w:val="0"/>
          <w:dstrike w:val="0"/>
          <w:color w:val="000000"/>
          <w:sz w:val="24"/>
          <w:szCs w:val="24"/>
          <w:lang w:val="en-US" w:eastAsia="zh-CN"/>
        </w:rPr>
        <w:t>投资建设光伏电站并向甲方提供优惠电价以有偿取得租赁标的物的使用权</w:t>
      </w:r>
      <w:r>
        <w:rPr>
          <w:rFonts w:hint="eastAsia" w:ascii="宋体" w:hAnsi="宋体" w:eastAsia="宋体" w:cs="宋体"/>
          <w:b w:val="0"/>
          <w:i w:val="0"/>
          <w:strike w:val="0"/>
          <w:dstrike w:val="0"/>
          <w:color w:val="000000"/>
          <w:sz w:val="24"/>
          <w:szCs w:val="24"/>
          <w:lang w:eastAsia="zh-CN"/>
        </w:rPr>
        <w:t>，</w:t>
      </w:r>
      <w:r>
        <w:rPr>
          <w:rFonts w:hint="eastAsia" w:ascii="宋体" w:hAnsi="宋体" w:eastAsia="宋体" w:cs="宋体"/>
          <w:b w:val="0"/>
          <w:i w:val="0"/>
          <w:strike w:val="0"/>
          <w:dstrike w:val="0"/>
          <w:color w:val="000000"/>
          <w:sz w:val="24"/>
          <w:szCs w:val="24"/>
          <w:lang w:val="en-US" w:eastAsia="zh-CN"/>
        </w:rPr>
        <w:t>租赁期内乙方租赁</w:t>
      </w:r>
      <w:r>
        <w:rPr>
          <w:rFonts w:ascii="宋体" w:hAnsi="宋体" w:eastAsia="宋体" w:cs="宋体"/>
          <w:b w:val="0"/>
          <w:i w:val="0"/>
          <w:strike w:val="0"/>
          <w:dstrike w:val="0"/>
          <w:color w:val="000000"/>
          <w:sz w:val="24"/>
          <w:szCs w:val="24"/>
        </w:rPr>
        <w:t>甲方</w:t>
      </w:r>
      <w:r>
        <w:rPr>
          <w:rFonts w:hint="eastAsia" w:ascii="宋体" w:hAnsi="宋体" w:eastAsia="宋体" w:cs="宋体"/>
          <w:b w:val="0"/>
          <w:i w:val="0"/>
          <w:strike w:val="0"/>
          <w:dstrike w:val="0"/>
          <w:color w:val="000000"/>
          <w:sz w:val="24"/>
          <w:szCs w:val="24"/>
          <w:lang w:val="en-US" w:eastAsia="zh-CN"/>
        </w:rPr>
        <w:t>租赁标的物无需额外支付租金，但非赠与或无偿使用</w:t>
      </w:r>
      <w:r>
        <w:rPr>
          <w:rFonts w:ascii="宋体" w:hAnsi="宋体" w:eastAsia="宋体" w:cs="宋体"/>
          <w:b w:val="0"/>
          <w:i w:val="0"/>
          <w:strike w:val="0"/>
          <w:dstrike w:val="0"/>
          <w:color w:val="000000"/>
          <w:sz w:val="24"/>
          <w:szCs w:val="24"/>
        </w:rPr>
        <w:t>。</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b w:val="0"/>
          <w:i w:val="0"/>
          <w:strike w:val="0"/>
          <w:dstrike w:val="0"/>
          <w:color w:val="000000"/>
          <w:sz w:val="24"/>
          <w:szCs w:val="24"/>
        </w:rPr>
      </w:pPr>
      <w:r>
        <w:rPr>
          <w:rFonts w:hint="eastAsia" w:ascii="宋体" w:hAnsi="宋体" w:cs="宋体"/>
          <w:b w:val="0"/>
          <w:i w:val="0"/>
          <w:strike w:val="0"/>
          <w:dstrike w:val="0"/>
          <w:color w:val="000000"/>
          <w:sz w:val="24"/>
          <w:szCs w:val="24"/>
          <w:lang w:val="en-US" w:eastAsia="zh-CN"/>
        </w:rPr>
        <w:t>2.4</w:t>
      </w:r>
      <w:r>
        <w:rPr>
          <w:rFonts w:ascii="宋体" w:hAnsi="宋体" w:eastAsia="宋体" w:cs="宋体"/>
          <w:b w:val="0"/>
          <w:i w:val="0"/>
          <w:strike w:val="0"/>
          <w:dstrike w:val="0"/>
          <w:color w:val="000000"/>
          <w:sz w:val="24"/>
          <w:szCs w:val="24"/>
        </w:rPr>
        <w:t>【效益分享期】本项目运营期（即节能效益分享期，或“电站运行期”）自本项目光伏电站完成并网验收发电之日起</w:t>
      </w:r>
      <w:r>
        <w:rPr>
          <w:rFonts w:hint="eastAsia" w:ascii="宋体" w:hAnsi="宋体" w:eastAsia="宋体" w:cs="宋体"/>
          <w:b w:val="0"/>
          <w:i w:val="0"/>
          <w:strike w:val="0"/>
          <w:dstrike w:val="0"/>
          <w:color w:val="000000"/>
          <w:sz w:val="24"/>
          <w:szCs w:val="24"/>
          <w:lang w:val="en-US" w:eastAsia="zh-CN"/>
        </w:rPr>
        <w:t xml:space="preserve"> </w:t>
      </w:r>
      <w:r>
        <w:rPr>
          <w:rFonts w:hint="eastAsia" w:ascii="宋体" w:hAnsi="宋体" w:cs="宋体"/>
          <w:b w:val="0"/>
          <w:i w:val="0"/>
          <w:strike w:val="0"/>
          <w:dstrike w:val="0"/>
          <w:color w:val="000000"/>
          <w:sz w:val="24"/>
          <w:szCs w:val="24"/>
          <w:u w:val="single"/>
          <w:lang w:val="en-US" w:eastAsia="zh-CN"/>
        </w:rPr>
        <w:t xml:space="preserve">  </w:t>
      </w:r>
      <w:r>
        <w:rPr>
          <w:rFonts w:ascii="宋体" w:hAnsi="宋体" w:eastAsia="宋体" w:cs="宋体"/>
          <w:b w:val="0"/>
          <w:i w:val="0"/>
          <w:strike w:val="0"/>
          <w:dstrike w:val="0"/>
          <w:color w:val="000000"/>
          <w:sz w:val="24"/>
          <w:szCs w:val="24"/>
        </w:rPr>
        <w:t>年。效益分享期内，如因甲方原因造成项目运营期限内电站无法正常运营，乙方有权顺延项目运营期限，自电站正常运营后继续计算。</w:t>
      </w:r>
      <w:r>
        <w:rPr>
          <w:rFonts w:hint="eastAsia" w:ascii="宋体" w:hAnsi="宋体" w:cs="宋体"/>
          <w:b w:val="0"/>
          <w:i w:val="0"/>
          <w:strike w:val="0"/>
          <w:dstrike w:val="0"/>
          <w:color w:val="000000"/>
          <w:sz w:val="24"/>
          <w:szCs w:val="24"/>
          <w:lang w:val="en-US" w:eastAsia="zh-CN"/>
        </w:rPr>
        <w:t>电站运行期内双方无违约行为的，效益分享期顺延</w:t>
      </w:r>
      <w:r>
        <w:rPr>
          <w:rFonts w:hint="eastAsia" w:ascii="宋体" w:hAnsi="宋体" w:eastAsia="宋体" w:cs="宋体"/>
          <w:b w:val="0"/>
          <w:i w:val="0"/>
          <w:strike w:val="0"/>
          <w:dstrike w:val="0"/>
          <w:color w:val="000000"/>
          <w:sz w:val="24"/>
          <w:szCs w:val="24"/>
          <w:lang w:val="en-US" w:eastAsia="zh-CN"/>
        </w:rPr>
        <w:t xml:space="preserve">    </w:t>
      </w:r>
      <w:r>
        <w:rPr>
          <w:rFonts w:ascii="宋体" w:hAnsi="宋体" w:eastAsia="宋体" w:cs="宋体"/>
          <w:b w:val="0"/>
          <w:i w:val="0"/>
          <w:strike w:val="0"/>
          <w:dstrike w:val="0"/>
          <w:color w:val="000000"/>
          <w:sz w:val="24"/>
          <w:szCs w:val="24"/>
        </w:rPr>
        <w:t>年</w:t>
      </w:r>
      <w:r>
        <w:rPr>
          <w:rFonts w:hint="eastAsia" w:ascii="宋体" w:hAnsi="宋体" w:eastAsia="宋体" w:cs="宋体"/>
          <w:b w:val="0"/>
          <w:i w:val="0"/>
          <w:strike w:val="0"/>
          <w:dstrike w:val="0"/>
          <w:color w:val="000000"/>
          <w:sz w:val="24"/>
          <w:szCs w:val="24"/>
          <w:lang w:eastAsia="zh-CN"/>
        </w:rPr>
        <w:t>。</w:t>
      </w:r>
      <w:r>
        <w:commentReference w:id="1"/>
      </w:r>
    </w:p>
    <w:p>
      <w:pPr>
        <w:widowControl/>
        <w:spacing w:beforeLines="50" w:afterLines="50" w:line="240" w:lineRule="auto"/>
        <w:ind w:leftChars="200" w:rightChars="0" w:firstLine="0" w:firstLineChars="0"/>
        <w:jc w:val="both"/>
        <w:rPr>
          <w:sz w:val="24"/>
          <w:szCs w:val="24"/>
        </w:rPr>
      </w:pPr>
      <w:r>
        <w:rPr>
          <w:rFonts w:ascii="宋体" w:hAnsi="宋体" w:eastAsia="宋体" w:cs="宋体"/>
          <w:b/>
          <w:i w:val="0"/>
          <w:strike w:val="0"/>
          <w:dstrike w:val="0"/>
          <w:color w:val="000000"/>
          <w:sz w:val="24"/>
          <w:szCs w:val="24"/>
        </w:rPr>
        <w:t>第三条：项目投资及权属</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1、</w:t>
      </w:r>
      <w:r>
        <w:rPr>
          <w:rFonts w:ascii="宋体" w:hAnsi="宋体" w:eastAsia="宋体" w:cs="宋体"/>
          <w:b w:val="0"/>
          <w:i w:val="0"/>
          <w:strike w:val="0"/>
          <w:dstrike w:val="0"/>
          <w:color w:val="000000"/>
          <w:sz w:val="24"/>
          <w:szCs w:val="24"/>
        </w:rPr>
        <w:t>乙方负责本项目的全部投资建设及运营维护并承担项目的设计、备案、设备购置、施工建设、并网接入等所有费用。本协议光伏电站项目资产所有权归属乙方，由乙方独立经营、管理、收益，甲方不得干涉乙方运营，且甲方应对乙方组织的项目建设运维等履约过程提供便利及必要的配合、协助。</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b w:val="0"/>
          <w:i w:val="0"/>
          <w:strike w:val="0"/>
          <w:dstrike w:val="0"/>
          <w:color w:val="000000"/>
          <w:sz w:val="24"/>
          <w:szCs w:val="24"/>
        </w:rPr>
      </w:pPr>
      <w:r>
        <w:rPr>
          <w:rFonts w:hint="eastAsia" w:ascii="宋体" w:hAnsi="宋体" w:eastAsia="宋体" w:cs="宋体"/>
          <w:b w:val="0"/>
          <w:i w:val="0"/>
          <w:strike w:val="0"/>
          <w:dstrike w:val="0"/>
          <w:color w:val="000000"/>
          <w:sz w:val="24"/>
          <w:szCs w:val="24"/>
          <w:lang w:val="en-US" w:eastAsia="zh-CN"/>
        </w:rPr>
        <w:t>2、</w:t>
      </w:r>
      <w:r>
        <w:rPr>
          <w:rFonts w:ascii="宋体" w:hAnsi="宋体" w:eastAsia="宋体" w:cs="宋体"/>
          <w:b w:val="0"/>
          <w:i w:val="0"/>
          <w:strike w:val="0"/>
          <w:dstrike w:val="0"/>
          <w:color w:val="000000"/>
          <w:sz w:val="24"/>
          <w:szCs w:val="24"/>
        </w:rPr>
        <w:t>节能效益分享期结束后，甲乙双方可视本项目光伏电站的运行状况另行协商是否参照本合同内容继续执行，或协商变更节能效益的计算及分享方式继续履行合同。如双方不能达成一致，在甲方支付完电费前，电站及其他设施设备（包括但不限于光伏组件、逆变器、电缆以及其他设施设备等接至电力并网接驳点前的所有相关设备设施）仍归属乙方，甲方支付完电费后，则电站资产归甲方所有，乙方应办理电站的转让，如甲方不同意持有电站，则由乙方进行拆除。</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3、</w:t>
      </w:r>
      <w:r>
        <w:rPr>
          <w:rFonts w:ascii="宋体" w:hAnsi="宋体" w:eastAsia="宋体" w:cs="宋体"/>
          <w:b w:val="0"/>
          <w:i w:val="0"/>
          <w:strike w:val="0"/>
          <w:dstrike w:val="0"/>
          <w:color w:val="000000"/>
          <w:sz w:val="24"/>
          <w:szCs w:val="24"/>
        </w:rPr>
        <w:t>甲方</w:t>
      </w:r>
      <w:r>
        <w:rPr>
          <w:rFonts w:hint="eastAsia" w:ascii="宋体" w:hAnsi="宋体" w:cs="宋体"/>
          <w:b w:val="0"/>
          <w:i w:val="0"/>
          <w:strike w:val="0"/>
          <w:dstrike w:val="0"/>
          <w:color w:val="000000"/>
          <w:sz w:val="24"/>
          <w:szCs w:val="24"/>
          <w:lang w:val="en-US" w:eastAsia="zh-CN"/>
        </w:rPr>
        <w:t>无权处置光伏电站</w:t>
      </w:r>
      <w:r>
        <w:rPr>
          <w:rFonts w:ascii="宋体" w:hAnsi="宋体" w:eastAsia="宋体" w:cs="宋体"/>
          <w:b w:val="0"/>
          <w:i w:val="0"/>
          <w:strike w:val="0"/>
          <w:dstrike w:val="0"/>
          <w:color w:val="000000"/>
          <w:sz w:val="24"/>
          <w:szCs w:val="24"/>
        </w:rPr>
        <w:t>项目资产或将项目资产抵押、质押或在项目资产上设定其他形式的第三方权利。如甲方进入破产重组或者破产清算的，乙方项目电站的所有资产均不属于甲方的破产财产。</w:t>
      </w:r>
    </w:p>
    <w:p>
      <w:pPr>
        <w:widowControl/>
        <w:spacing w:beforeLines="50" w:afterLines="50" w:line="240" w:lineRule="auto"/>
        <w:ind w:leftChars="200" w:rightChars="0" w:firstLine="0" w:firstLineChars="0"/>
        <w:jc w:val="both"/>
        <w:rPr>
          <w:sz w:val="24"/>
          <w:szCs w:val="24"/>
        </w:rPr>
      </w:pPr>
      <w:r>
        <w:rPr>
          <w:rFonts w:ascii="宋体" w:hAnsi="宋体" w:eastAsia="宋体" w:cs="宋体"/>
          <w:b/>
          <w:i w:val="0"/>
          <w:strike w:val="0"/>
          <w:dstrike w:val="0"/>
          <w:color w:val="000000"/>
          <w:sz w:val="24"/>
          <w:szCs w:val="24"/>
        </w:rPr>
        <w:t>第四条：效益分享</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4.1</w:t>
      </w:r>
      <w:r>
        <w:rPr>
          <w:rFonts w:ascii="宋体" w:hAnsi="宋体" w:eastAsia="宋体" w:cs="宋体"/>
          <w:b w:val="0"/>
          <w:i w:val="0"/>
          <w:strike w:val="0"/>
          <w:dstrike w:val="0"/>
          <w:color w:val="000000"/>
          <w:sz w:val="24"/>
          <w:szCs w:val="24"/>
        </w:rPr>
        <w:t>本项目采用自发自用，余电上网的消纳模式。项目运营期内项目电力供应时段，乙方有义务优先给甲方供电，甲方有义务优先消纳本项目所产生的电能</w:t>
      </w:r>
      <w:r>
        <w:commentReference w:id="2"/>
      </w:r>
      <w:r>
        <w:rPr>
          <w:rFonts w:ascii="宋体" w:hAnsi="宋体" w:eastAsia="宋体" w:cs="宋体"/>
          <w:b w:val="0"/>
          <w:i w:val="0"/>
          <w:strike w:val="0"/>
          <w:dstrike w:val="0"/>
          <w:color w:val="000000"/>
          <w:sz w:val="24"/>
          <w:szCs w:val="24"/>
        </w:rPr>
        <w:t>。在本项目所发电力有多余时，乙方可转售第三方，如需甲方协助，甲方应予配合。</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4.2</w:t>
      </w:r>
      <w:r>
        <w:rPr>
          <w:rFonts w:ascii="宋体" w:hAnsi="宋体" w:eastAsia="宋体" w:cs="宋体"/>
          <w:b w:val="0"/>
          <w:i w:val="0"/>
          <w:strike w:val="0"/>
          <w:dstrike w:val="0"/>
          <w:color w:val="000000"/>
          <w:sz w:val="24"/>
          <w:szCs w:val="24"/>
        </w:rPr>
        <w:t xml:space="preserve">本合同下，双方同意采用第[  </w:t>
      </w:r>
      <w:r>
        <w:rPr>
          <w:rFonts w:hint="eastAsia" w:ascii="宋体" w:hAnsi="宋体" w:cs="宋体"/>
          <w:b w:val="0"/>
          <w:i w:val="0"/>
          <w:strike w:val="0"/>
          <w:dstrike w:val="0"/>
          <w:color w:val="000000"/>
          <w:sz w:val="24"/>
          <w:szCs w:val="24"/>
          <w:lang w:val="en-US" w:eastAsia="zh-CN"/>
        </w:rPr>
        <w:t>1</w:t>
      </w:r>
      <w:r>
        <w:rPr>
          <w:rFonts w:ascii="宋体" w:hAnsi="宋体" w:eastAsia="宋体" w:cs="宋体"/>
          <w:b w:val="0"/>
          <w:i w:val="0"/>
          <w:strike w:val="0"/>
          <w:dstrike w:val="0"/>
          <w:color w:val="000000"/>
          <w:sz w:val="24"/>
          <w:szCs w:val="24"/>
        </w:rPr>
        <w:t xml:space="preserve">  ] 种方式分享节能收益：</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eastAsia="宋体" w:cs="宋体"/>
          <w:sz w:val="24"/>
          <w:szCs w:val="24"/>
        </w:rPr>
        <w:t>【固定电价】在合同履行期间，项目运营期内，乙方按[    ] 元/kWh的固定电价收取甲方电费。</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2</w:t>
      </w:r>
      <w:r>
        <w:rPr>
          <w:rFonts w:hint="eastAsia" w:ascii="宋体" w:hAnsi="宋体" w:cs="宋体"/>
          <w:sz w:val="24"/>
          <w:szCs w:val="24"/>
          <w:lang w:eastAsia="zh-CN"/>
        </w:rPr>
        <w:t>）</w:t>
      </w:r>
      <w:r>
        <w:rPr>
          <w:rFonts w:hint="eastAsia" w:ascii="宋体" w:hAnsi="宋体" w:eastAsia="宋体" w:cs="宋体"/>
          <w:sz w:val="24"/>
          <w:szCs w:val="24"/>
        </w:rPr>
        <w:t>【综合单价折扣价】在合同履行期间，乙方按本项目运营日光伏发电有效时间段内（</w:t>
      </w:r>
      <w:r>
        <w:rPr>
          <w:rFonts w:hint="eastAsia" w:ascii="宋体" w:hAnsi="宋体" w:cs="宋体"/>
          <w:sz w:val="24"/>
          <w:szCs w:val="24"/>
          <w:lang w:eastAsia="zh-CN"/>
        </w:rPr>
        <w:t>□</w:t>
      </w:r>
      <w:r>
        <w:rPr>
          <w:rFonts w:hint="eastAsia" w:ascii="宋体" w:hAnsi="宋体" w:eastAsia="宋体" w:cs="宋体"/>
          <w:sz w:val="24"/>
          <w:szCs w:val="24"/>
        </w:rPr>
        <w:t>电网公布的代理购电电价  □甲方当期电网电费账单上销售电价）（含购电电价+输配电价+基金附加+上网环节线损电费+系统运行费用+市场化分摊费用）的综合单价 × 折扣系数收取甲方电费，折扣系数为[    ]。当本协议约定的结算电价低于项目当地脱硫煤</w:t>
      </w:r>
      <w:r>
        <w:rPr>
          <w:rFonts w:hint="eastAsia" w:ascii="宋体" w:hAnsi="宋体" w:cs="宋体"/>
          <w:sz w:val="24"/>
          <w:szCs w:val="24"/>
          <w:lang w:val="en-US" w:eastAsia="zh-CN"/>
        </w:rPr>
        <w:t>标杆</w:t>
      </w:r>
      <w:r>
        <w:rPr>
          <w:rFonts w:hint="eastAsia" w:ascii="宋体" w:hAnsi="宋体" w:eastAsia="宋体" w:cs="宋体"/>
          <w:sz w:val="24"/>
          <w:szCs w:val="24"/>
        </w:rPr>
        <w:t>电价时，则乙方</w:t>
      </w:r>
      <w:r>
        <w:rPr>
          <w:rFonts w:hint="eastAsia" w:ascii="宋体" w:hAnsi="宋体" w:cs="宋体"/>
          <w:sz w:val="24"/>
          <w:szCs w:val="24"/>
          <w:lang w:val="en-US" w:eastAsia="zh-CN"/>
        </w:rPr>
        <w:t>有权选择</w:t>
      </w:r>
      <w:r>
        <w:rPr>
          <w:rFonts w:hint="eastAsia" w:ascii="宋体" w:hAnsi="宋体" w:eastAsia="宋体" w:cs="宋体"/>
          <w:sz w:val="24"/>
          <w:szCs w:val="24"/>
        </w:rPr>
        <w:t>按照项目当地的脱硫煤</w:t>
      </w:r>
      <w:r>
        <w:rPr>
          <w:rFonts w:hint="eastAsia" w:ascii="宋体" w:hAnsi="宋体" w:cs="宋体"/>
          <w:sz w:val="24"/>
          <w:szCs w:val="24"/>
          <w:lang w:val="en-US" w:eastAsia="zh-CN"/>
        </w:rPr>
        <w:t>标杆</w:t>
      </w:r>
      <w:r>
        <w:rPr>
          <w:rFonts w:hint="eastAsia" w:ascii="宋体" w:hAnsi="宋体" w:eastAsia="宋体" w:cs="宋体"/>
          <w:sz w:val="24"/>
          <w:szCs w:val="24"/>
        </w:rPr>
        <w:t>电价收取甲方电费</w:t>
      </w:r>
      <w:r>
        <w:rPr>
          <w:rFonts w:hint="eastAsia" w:ascii="宋体" w:hAnsi="宋体" w:cs="宋体"/>
          <w:sz w:val="24"/>
          <w:szCs w:val="24"/>
          <w:lang w:eastAsia="zh-CN"/>
        </w:rPr>
        <w:t>（如脱硫煤</w:t>
      </w:r>
      <w:r>
        <w:rPr>
          <w:rFonts w:hint="eastAsia" w:ascii="宋体" w:hAnsi="宋体" w:cs="宋体"/>
          <w:sz w:val="24"/>
          <w:szCs w:val="24"/>
          <w:lang w:val="en-US" w:eastAsia="zh-CN"/>
        </w:rPr>
        <w:t>标杆</w:t>
      </w:r>
      <w:r>
        <w:rPr>
          <w:rFonts w:hint="eastAsia" w:ascii="宋体" w:hAnsi="宋体" w:cs="宋体"/>
          <w:sz w:val="24"/>
          <w:szCs w:val="24"/>
          <w:lang w:eastAsia="zh-CN"/>
        </w:rPr>
        <w:t>电价被政策取消，则</w:t>
      </w:r>
      <w:r>
        <w:rPr>
          <w:rFonts w:hint="eastAsia" w:ascii="宋体" w:hAnsi="宋体" w:cs="宋体"/>
          <w:sz w:val="24"/>
          <w:szCs w:val="24"/>
          <w:lang w:val="en-US" w:eastAsia="zh-CN"/>
        </w:rPr>
        <w:t>以取消前最后一期脱硫煤标杆电价为准</w:t>
      </w:r>
      <w:r>
        <w:rPr>
          <w:rFonts w:hint="eastAsia" w:ascii="宋体" w:hAnsi="宋体" w:cs="宋体"/>
          <w:sz w:val="24"/>
          <w:szCs w:val="24"/>
          <w:lang w:eastAsia="zh-CN"/>
        </w:rPr>
        <w:t>）</w:t>
      </w:r>
      <w:r>
        <w:rPr>
          <w:rFonts w:hint="eastAsia" w:ascii="宋体" w:hAnsi="宋体" w:eastAsia="宋体" w:cs="宋体"/>
          <w:sz w:val="24"/>
          <w:szCs w:val="24"/>
        </w:rPr>
        <w:t>，或乙方有权转售电网等第三方。</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3</w:t>
      </w:r>
      <w:r>
        <w:rPr>
          <w:rFonts w:hint="eastAsia" w:ascii="宋体" w:hAnsi="宋体" w:cs="宋体"/>
          <w:sz w:val="24"/>
          <w:szCs w:val="24"/>
          <w:lang w:eastAsia="zh-CN"/>
        </w:rPr>
        <w:t>）</w:t>
      </w:r>
      <w:r>
        <w:rPr>
          <w:rFonts w:hint="eastAsia" w:ascii="宋体" w:hAnsi="宋体" w:eastAsia="宋体" w:cs="宋体"/>
          <w:sz w:val="24"/>
          <w:szCs w:val="24"/>
        </w:rPr>
        <w:t xml:space="preserve">【分时电价折扣价】在合同履行期间，乙方按照甲方当期尖峰、峰、平、谷各时段实时（□电网公布的代理购电电价  </w:t>
      </w:r>
      <w:r>
        <w:rPr>
          <w:rFonts w:hint="eastAsia" w:ascii="宋体" w:hAnsi="宋体" w:cs="宋体"/>
          <w:sz w:val="24"/>
          <w:szCs w:val="24"/>
          <w:lang w:eastAsia="zh-CN"/>
        </w:rPr>
        <w:t>□</w:t>
      </w:r>
      <w:r>
        <w:rPr>
          <w:rFonts w:hint="eastAsia" w:ascii="宋体" w:hAnsi="宋体" w:eastAsia="宋体" w:cs="宋体"/>
          <w:sz w:val="24"/>
          <w:szCs w:val="24"/>
        </w:rPr>
        <w:t>甲方当期电网电费账单上销售电价）（含购电电价+输配电价+基金附加+上网环节线损电费+系统运行费用+市场化分摊费用）标准 × 折扣系数收取甲方电费，折扣系数为[    ]。当本协议约定的结算电价低于项目当地脱硫煤电价时，则乙方</w:t>
      </w:r>
      <w:r>
        <w:rPr>
          <w:rFonts w:hint="eastAsia" w:ascii="宋体" w:hAnsi="宋体" w:cs="宋体"/>
          <w:sz w:val="24"/>
          <w:szCs w:val="24"/>
          <w:lang w:val="en-US" w:eastAsia="zh-CN"/>
        </w:rPr>
        <w:t>有权选择</w:t>
      </w:r>
      <w:r>
        <w:rPr>
          <w:rFonts w:hint="eastAsia" w:ascii="宋体" w:hAnsi="宋体" w:eastAsia="宋体" w:cs="宋体"/>
          <w:sz w:val="24"/>
          <w:szCs w:val="24"/>
        </w:rPr>
        <w:t>按照项目当地的脱硫煤标杆电价收取甲方电费</w:t>
      </w:r>
      <w:r>
        <w:rPr>
          <w:rFonts w:hint="eastAsia" w:ascii="宋体" w:hAnsi="宋体" w:cs="宋体"/>
          <w:sz w:val="24"/>
          <w:szCs w:val="24"/>
          <w:lang w:eastAsia="zh-CN"/>
        </w:rPr>
        <w:t>（如脱硫煤</w:t>
      </w:r>
      <w:r>
        <w:rPr>
          <w:rFonts w:hint="eastAsia" w:ascii="宋体" w:hAnsi="宋体" w:cs="宋体"/>
          <w:sz w:val="24"/>
          <w:szCs w:val="24"/>
          <w:lang w:val="en-US" w:eastAsia="zh-CN"/>
        </w:rPr>
        <w:t>标杆</w:t>
      </w:r>
      <w:r>
        <w:rPr>
          <w:rFonts w:hint="eastAsia" w:ascii="宋体" w:hAnsi="宋体" w:cs="宋体"/>
          <w:sz w:val="24"/>
          <w:szCs w:val="24"/>
          <w:lang w:eastAsia="zh-CN"/>
        </w:rPr>
        <w:t>电价被政策取消，则</w:t>
      </w:r>
      <w:r>
        <w:rPr>
          <w:rFonts w:hint="eastAsia" w:ascii="宋体" w:hAnsi="宋体" w:cs="宋体"/>
          <w:sz w:val="24"/>
          <w:szCs w:val="24"/>
          <w:lang w:val="en-US" w:eastAsia="zh-CN"/>
        </w:rPr>
        <w:t>以取消前最后一期脱硫煤标杆电价为准</w:t>
      </w:r>
      <w:r>
        <w:rPr>
          <w:rFonts w:hint="eastAsia" w:ascii="宋体" w:hAnsi="宋体" w:cs="宋体"/>
          <w:sz w:val="24"/>
          <w:szCs w:val="24"/>
          <w:lang w:eastAsia="zh-CN"/>
        </w:rPr>
        <w:t>）</w:t>
      </w:r>
      <w:r>
        <w:rPr>
          <w:rFonts w:hint="eastAsia" w:ascii="宋体" w:hAnsi="宋体" w:eastAsia="宋体" w:cs="宋体"/>
          <w:sz w:val="24"/>
          <w:szCs w:val="24"/>
        </w:rPr>
        <w:t>，或乙方有权转售电网等第三方</w:t>
      </w:r>
      <w:r>
        <w:rPr>
          <w:rFonts w:ascii="宋体" w:hAnsi="宋体" w:eastAsia="宋体" w:cs="宋体"/>
          <w:b w:val="0"/>
          <w:i w:val="0"/>
          <w:strike w:val="0"/>
          <w:dstrike w:val="0"/>
          <w:color w:val="000000"/>
          <w:sz w:val="24"/>
          <w:szCs w:val="24"/>
        </w:rPr>
        <w:t>。</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4.3</w:t>
      </w:r>
      <w:r>
        <w:rPr>
          <w:rFonts w:ascii="宋体" w:hAnsi="宋体" w:eastAsia="宋体" w:cs="宋体"/>
          <w:b w:val="0"/>
          <w:i w:val="0"/>
          <w:strike w:val="0"/>
          <w:dstrike w:val="0"/>
          <w:color w:val="000000"/>
          <w:sz w:val="24"/>
          <w:szCs w:val="24"/>
        </w:rPr>
        <w:t>甲方在签订本合同时已对电网公布的</w:t>
      </w:r>
      <w:r>
        <w:rPr>
          <w:rFonts w:ascii="宋体" w:hAnsi="宋体" w:eastAsia="宋体" w:cs="宋体"/>
          <w:b w:val="0"/>
          <w:i w:val="0"/>
          <w:strike w:val="0"/>
          <w:dstrike w:val="0"/>
          <w:color w:val="000000"/>
          <w:sz w:val="24"/>
          <w:szCs w:val="24"/>
          <w:highlight w:val="none"/>
        </w:rPr>
        <w:t>电价（</w:t>
      </w:r>
      <w:r>
        <w:rPr>
          <w:rFonts w:ascii="宋体" w:hAnsi="宋体" w:eastAsia="宋体" w:cs="宋体"/>
          <w:b w:val="0"/>
          <w:i w:val="0"/>
          <w:strike w:val="0"/>
          <w:dstrike w:val="0"/>
          <w:color w:val="000000"/>
          <w:sz w:val="24"/>
          <w:szCs w:val="24"/>
        </w:rPr>
        <w:t>含尖峰、峰、平、谷各时段实时电价）存在变化和调整的风险有清晰认知和预期，</w:t>
      </w:r>
      <w:r>
        <w:rPr>
          <w:rFonts w:hint="eastAsia" w:ascii="宋体" w:hAnsi="宋体" w:cs="宋体"/>
          <w:b w:val="0"/>
          <w:i w:val="0"/>
          <w:strike w:val="0"/>
          <w:dstrike w:val="0"/>
          <w:color w:val="000000"/>
          <w:sz w:val="24"/>
          <w:szCs w:val="24"/>
          <w:lang w:val="en-US" w:eastAsia="zh-CN"/>
        </w:rPr>
        <w:t>如后续甲方参与市场化直购电或市场化交易等原因而引起电价变动，</w:t>
      </w:r>
      <w:r>
        <w:rPr>
          <w:rFonts w:ascii="宋体" w:hAnsi="宋体" w:eastAsia="宋体" w:cs="宋体"/>
          <w:b w:val="0"/>
          <w:i w:val="0"/>
          <w:strike w:val="0"/>
          <w:dstrike w:val="0"/>
          <w:color w:val="000000"/>
          <w:sz w:val="24"/>
          <w:szCs w:val="24"/>
        </w:rPr>
        <w:t>甲方不以此为由主张调整本合同所约定的节能收益分享数额、方式等内容</w:t>
      </w:r>
      <w:r>
        <w:rPr>
          <w:rFonts w:ascii="宋体" w:hAnsi="宋体" w:eastAsia="宋体" w:cs="宋体"/>
          <w:b w:val="0"/>
          <w:i w:val="0"/>
          <w:strike w:val="0"/>
          <w:dstrike w:val="0"/>
          <w:color w:val="auto"/>
          <w:sz w:val="24"/>
          <w:szCs w:val="24"/>
          <w:highlight w:val="none"/>
        </w:rPr>
        <w:t>。</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4.4</w:t>
      </w:r>
      <w:r>
        <w:rPr>
          <w:rFonts w:ascii="宋体" w:hAnsi="宋体" w:eastAsia="宋体" w:cs="宋体"/>
          <w:b w:val="0"/>
          <w:i w:val="0"/>
          <w:strike w:val="0"/>
          <w:dstrike w:val="0"/>
          <w:color w:val="000000"/>
          <w:sz w:val="24"/>
          <w:szCs w:val="24"/>
        </w:rPr>
        <w:t>在节能效益分享期内，甲方应支付乙方的节能费用（以下称为</w:t>
      </w:r>
      <w:r>
        <w:rPr>
          <w:rFonts w:hint="eastAsia" w:ascii="宋体" w:hAnsi="宋体" w:cs="宋体"/>
          <w:b w:val="0"/>
          <w:i w:val="0"/>
          <w:strike w:val="0"/>
          <w:dstrike w:val="0"/>
          <w:color w:val="000000"/>
          <w:sz w:val="24"/>
          <w:szCs w:val="24"/>
          <w:lang w:eastAsia="zh-CN"/>
        </w:rPr>
        <w:t>“</w:t>
      </w:r>
      <w:r>
        <w:rPr>
          <w:rFonts w:hint="eastAsia" w:ascii="宋体" w:hAnsi="宋体" w:cs="宋体"/>
          <w:b w:val="0"/>
          <w:i w:val="0"/>
          <w:strike w:val="0"/>
          <w:dstrike w:val="0"/>
          <w:color w:val="000000"/>
          <w:sz w:val="24"/>
          <w:szCs w:val="24"/>
          <w:lang w:val="en-US" w:eastAsia="zh-CN"/>
        </w:rPr>
        <w:t>电费”</w:t>
      </w:r>
      <w:r>
        <w:rPr>
          <w:rFonts w:ascii="宋体" w:hAnsi="宋体" w:eastAsia="宋体" w:cs="宋体"/>
          <w:b w:val="0"/>
          <w:i w:val="0"/>
          <w:strike w:val="0"/>
          <w:dstrike w:val="0"/>
          <w:color w:val="000000"/>
          <w:sz w:val="24"/>
          <w:szCs w:val="24"/>
        </w:rPr>
        <w:t xml:space="preserve">）计算公式为：P=Q x A </w:t>
      </w:r>
    </w:p>
    <w:p>
      <w:pPr>
        <w:spacing w:beforeLines="0" w:afterLines="0" w:line="240" w:lineRule="auto"/>
        <w:ind w:rightChars="0" w:firstLine="480" w:firstLineChars="200"/>
        <w:jc w:val="both"/>
        <w:rPr>
          <w:sz w:val="24"/>
          <w:szCs w:val="24"/>
        </w:rPr>
      </w:pPr>
      <w:r>
        <w:rPr>
          <w:rFonts w:ascii="宋体" w:hAnsi="宋体" w:eastAsia="宋体" w:cs="宋体"/>
          <w:b w:val="0"/>
          <w:i w:val="0"/>
          <w:strike w:val="0"/>
          <w:dstrike w:val="0"/>
          <w:color w:val="000000"/>
          <w:sz w:val="24"/>
          <w:szCs w:val="24"/>
        </w:rPr>
        <w:t>P为电费，单位：元，Q为节能电量，单位：kWh，A为节能单价，单位：元/kWh。</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4.5</w:t>
      </w:r>
      <w:r>
        <w:rPr>
          <w:rFonts w:ascii="宋体" w:hAnsi="宋体" w:eastAsia="宋体" w:cs="宋体"/>
          <w:b w:val="0"/>
          <w:i w:val="0"/>
          <w:strike w:val="0"/>
          <w:dstrike w:val="0"/>
          <w:color w:val="000000"/>
          <w:sz w:val="24"/>
          <w:szCs w:val="24"/>
        </w:rPr>
        <w:t>甲方节能电量计量=（单元1光伏电站出口送电电能计量表读数×单元1电能计量表倍率+ … 单元n光伏电站出口送电电能计量表读数×单元n电能计量表倍率）－余电上网数值。</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4.6</w:t>
      </w:r>
      <w:r>
        <w:rPr>
          <w:rFonts w:ascii="宋体" w:hAnsi="宋体" w:eastAsia="宋体" w:cs="宋体"/>
          <w:b w:val="0"/>
          <w:i w:val="0"/>
          <w:strike w:val="0"/>
          <w:dstrike w:val="0"/>
          <w:color w:val="000000"/>
          <w:sz w:val="24"/>
          <w:szCs w:val="24"/>
        </w:rPr>
        <w:t>电量计量方式：节能效益分享期内，每月5日前甲乙双方派员共同测量抄录确认上月项目各电表的电量记录，甲方未在前述期限内予以配合确认的，则以乙方抄录的电量为准；如所在地供电局按月抄录电量记录（包括项目当月发电总电量及当月上网总电量）并出具相应电量计量单的，本项目当月发电总电量及当月上网总电量应均以供电局抄录的各电表电量记录为准。当月10日前，</w:t>
      </w:r>
      <w:r>
        <w:rPr>
          <w:rFonts w:hint="eastAsia" w:ascii="宋体" w:hAnsi="宋体" w:cs="宋体"/>
          <w:b w:val="0"/>
          <w:i w:val="0"/>
          <w:strike w:val="0"/>
          <w:dstrike w:val="0"/>
          <w:color w:val="000000"/>
          <w:sz w:val="24"/>
          <w:szCs w:val="24"/>
          <w:lang w:val="en-US" w:eastAsia="zh-CN"/>
        </w:rPr>
        <w:t>乙方</w:t>
      </w:r>
      <w:r>
        <w:rPr>
          <w:rFonts w:ascii="宋体" w:hAnsi="宋体" w:eastAsia="宋体" w:cs="宋体"/>
          <w:b w:val="0"/>
          <w:i w:val="0"/>
          <w:strike w:val="0"/>
          <w:dstrike w:val="0"/>
          <w:color w:val="000000"/>
          <w:sz w:val="24"/>
          <w:szCs w:val="24"/>
        </w:rPr>
        <w:t>向甲方出具《电费缴付通知单》。</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color w:val="000000"/>
          <w:sz w:val="24"/>
          <w:szCs w:val="24"/>
          <w:lang w:val="en-US" w:eastAsia="zh-CN"/>
        </w:rPr>
        <w:t>4.7</w:t>
      </w:r>
      <w:r>
        <w:rPr>
          <w:rFonts w:hint="eastAsia" w:ascii="宋体" w:hAnsi="宋体" w:cs="宋体"/>
          <w:color w:val="000000"/>
          <w:sz w:val="24"/>
          <w:szCs w:val="24"/>
        </w:rPr>
        <w:t>甲方应在收到上述付款通知之后的</w:t>
      </w:r>
      <w:r>
        <w:rPr>
          <w:rFonts w:hint="eastAsia" w:ascii="宋体" w:hAnsi="宋体" w:cs="宋体"/>
          <w:color w:val="000000"/>
          <w:sz w:val="24"/>
          <w:szCs w:val="24"/>
          <w:lang w:val="en-US" w:eastAsia="zh-CN"/>
        </w:rPr>
        <w:t>十五</w:t>
      </w:r>
      <w:r>
        <w:rPr>
          <w:rFonts w:hint="eastAsia" w:ascii="宋体" w:hAnsi="宋体" w:cs="宋体"/>
          <w:color w:val="000000"/>
          <w:sz w:val="24"/>
          <w:szCs w:val="24"/>
        </w:rPr>
        <w:t>（</w:t>
      </w:r>
      <w:r>
        <w:rPr>
          <w:rFonts w:hint="eastAsia" w:ascii="宋体" w:hAnsi="宋体" w:cs="宋体"/>
          <w:color w:val="000000"/>
          <w:sz w:val="24"/>
          <w:szCs w:val="24"/>
          <w:lang w:eastAsia="zh-CN"/>
        </w:rPr>
        <w:t>1</w:t>
      </w:r>
      <w:r>
        <w:rPr>
          <w:rFonts w:hint="eastAsia" w:ascii="宋体" w:hAnsi="宋体" w:cs="宋体"/>
          <w:color w:val="000000"/>
          <w:sz w:val="24"/>
          <w:szCs w:val="24"/>
          <w:lang w:val="en-US" w:eastAsia="zh-CN"/>
        </w:rPr>
        <w:t>5</w:t>
      </w:r>
      <w:r>
        <w:rPr>
          <w:rFonts w:hint="eastAsia" w:ascii="宋体" w:hAnsi="宋体" w:cs="宋体"/>
          <w:color w:val="000000"/>
          <w:sz w:val="24"/>
          <w:szCs w:val="24"/>
        </w:rPr>
        <w:t>）日内</w:t>
      </w:r>
      <w:r>
        <w:commentReference w:id="3"/>
      </w:r>
      <w:r>
        <w:rPr>
          <w:rFonts w:hint="eastAsia" w:ascii="宋体" w:hAnsi="宋体" w:cs="宋体"/>
          <w:color w:val="000000"/>
          <w:sz w:val="24"/>
          <w:szCs w:val="24"/>
        </w:rPr>
        <w:t>，将相应的款项一次性全额支付给乙方。</w:t>
      </w:r>
      <w:r>
        <w:rPr>
          <w:rFonts w:ascii="宋体" w:hAnsi="宋体" w:eastAsia="宋体" w:cs="宋体"/>
          <w:b w:val="0"/>
          <w:i w:val="0"/>
          <w:strike w:val="0"/>
          <w:dstrike w:val="0"/>
          <w:color w:val="000000"/>
          <w:sz w:val="24"/>
          <w:szCs w:val="24"/>
        </w:rPr>
        <w:t>。</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4.8</w:t>
      </w:r>
      <w:r>
        <w:rPr>
          <w:rFonts w:ascii="宋体" w:hAnsi="宋体" w:eastAsia="宋体" w:cs="宋体"/>
          <w:b w:val="0"/>
          <w:i w:val="0"/>
          <w:strike w:val="0"/>
          <w:dstrike w:val="0"/>
          <w:color w:val="000000"/>
          <w:sz w:val="24"/>
          <w:szCs w:val="24"/>
        </w:rPr>
        <w:t>电费的交付形式：电汇，不接受承兑。</w:t>
      </w:r>
    </w:p>
    <w:p>
      <w:pPr>
        <w:widowControl/>
        <w:spacing w:beforeLines="50" w:afterLines="50" w:line="240" w:lineRule="auto"/>
        <w:ind w:leftChars="200" w:rightChars="0" w:firstLine="0" w:firstLineChars="0"/>
        <w:jc w:val="both"/>
        <w:rPr>
          <w:sz w:val="24"/>
          <w:szCs w:val="24"/>
        </w:rPr>
      </w:pPr>
      <w:r>
        <w:rPr>
          <w:rFonts w:ascii="宋体" w:hAnsi="宋体" w:eastAsia="宋体" w:cs="宋体"/>
          <w:b/>
          <w:i w:val="0"/>
          <w:strike w:val="0"/>
          <w:dstrike w:val="0"/>
          <w:color w:val="000000"/>
          <w:sz w:val="24"/>
          <w:szCs w:val="24"/>
        </w:rPr>
        <w:t>第五条：补贴及补偿</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5.2</w:t>
      </w:r>
      <w:r>
        <w:rPr>
          <w:rFonts w:ascii="宋体" w:hAnsi="宋体" w:eastAsia="宋体" w:cs="宋体"/>
          <w:b w:val="0"/>
          <w:i w:val="0"/>
          <w:strike w:val="0"/>
          <w:dstrike w:val="0"/>
          <w:color w:val="000000"/>
          <w:sz w:val="24"/>
          <w:szCs w:val="24"/>
        </w:rPr>
        <w:t>本项目所获得的包括但不限于国家、项目所在地方获得的相关补贴，</w:t>
      </w:r>
      <w:r>
        <w:rPr>
          <w:rFonts w:hint="eastAsia" w:ascii="宋体" w:hAnsi="宋体" w:cs="宋体"/>
          <w:b w:val="0"/>
          <w:i w:val="0"/>
          <w:strike w:val="0"/>
          <w:dstrike w:val="0"/>
          <w:color w:val="000000"/>
          <w:sz w:val="24"/>
          <w:szCs w:val="24"/>
          <w:lang w:val="en-US" w:eastAsia="zh-CN"/>
        </w:rPr>
        <w:t>非甲方为申报主体的</w:t>
      </w:r>
      <w:r>
        <w:rPr>
          <w:rFonts w:ascii="宋体" w:hAnsi="宋体" w:eastAsia="宋体" w:cs="宋体"/>
          <w:b w:val="0"/>
          <w:i w:val="0"/>
          <w:strike w:val="0"/>
          <w:dstrike w:val="0"/>
          <w:color w:val="000000"/>
          <w:sz w:val="24"/>
          <w:szCs w:val="24"/>
        </w:rPr>
        <w:t>补贴款全部归为乙方所有，由乙方自行跟进，甲方提供必要的协助</w:t>
      </w:r>
      <w:r>
        <w:rPr>
          <w:rFonts w:hint="eastAsia" w:ascii="宋体" w:hAnsi="宋体" w:cs="宋体"/>
          <w:b w:val="0"/>
          <w:i w:val="0"/>
          <w:strike w:val="0"/>
          <w:dstrike w:val="0"/>
          <w:color w:val="000000"/>
          <w:sz w:val="24"/>
          <w:szCs w:val="24"/>
          <w:lang w:eastAsia="zh-CN"/>
        </w:rPr>
        <w:t>；</w:t>
      </w:r>
      <w:r>
        <w:rPr>
          <w:rFonts w:hint="eastAsia" w:ascii="宋体" w:hAnsi="宋体" w:cs="宋体"/>
          <w:b w:val="0"/>
          <w:i w:val="0"/>
          <w:strike w:val="0"/>
          <w:dstrike w:val="0"/>
          <w:color w:val="000000"/>
          <w:sz w:val="24"/>
          <w:szCs w:val="24"/>
          <w:lang w:val="en-US" w:eastAsia="zh-CN"/>
        </w:rPr>
        <w:t>如有以甲方为申报主体的补贴款归甲方所有</w:t>
      </w:r>
      <w:r>
        <w:commentReference w:id="4"/>
      </w:r>
      <w:r>
        <w:rPr>
          <w:rFonts w:hint="eastAsia" w:ascii="宋体" w:hAnsi="宋体" w:cs="宋体"/>
          <w:b w:val="0"/>
          <w:i w:val="0"/>
          <w:strike w:val="0"/>
          <w:dstrike w:val="0"/>
          <w:color w:val="000000"/>
          <w:sz w:val="24"/>
          <w:szCs w:val="24"/>
          <w:lang w:val="en-US" w:eastAsia="zh-CN"/>
        </w:rPr>
        <w:t>，由甲方跟进，乙方提供必要的协助</w:t>
      </w:r>
      <w:r>
        <w:rPr>
          <w:rFonts w:ascii="宋体" w:hAnsi="宋体" w:eastAsia="宋体" w:cs="宋体"/>
          <w:b w:val="0"/>
          <w:i w:val="0"/>
          <w:strike w:val="0"/>
          <w:dstrike w:val="0"/>
          <w:color w:val="000000"/>
          <w:sz w:val="24"/>
          <w:szCs w:val="24"/>
        </w:rPr>
        <w:t>。电站发电所获得的碳排放指标及权限、</w:t>
      </w:r>
      <w:r>
        <w:rPr>
          <w:rFonts w:ascii="Times New Roman" w:hAnsi="Times New Roman" w:eastAsia="微软雅黑" w:cs="Times New Roman"/>
          <w:b w:val="0"/>
          <w:i w:val="0"/>
          <w:strike w:val="0"/>
          <w:dstrike w:val="0"/>
          <w:color w:val="000000"/>
          <w:sz w:val="24"/>
          <w:szCs w:val="24"/>
        </w:rPr>
        <w:t>CCER</w:t>
      </w:r>
      <w:r>
        <w:rPr>
          <w:rFonts w:ascii="宋体" w:hAnsi="宋体" w:eastAsia="宋体" w:cs="宋体"/>
          <w:b w:val="0"/>
          <w:i w:val="0"/>
          <w:strike w:val="0"/>
          <w:dstrike w:val="0"/>
          <w:color w:val="000000"/>
          <w:sz w:val="24"/>
          <w:szCs w:val="24"/>
        </w:rPr>
        <w:t>、绿电、绿证指标、可再生能源电力消纳配额</w:t>
      </w:r>
      <w:r>
        <w:rPr>
          <w:rFonts w:hint="eastAsia" w:ascii="宋体" w:hAnsi="宋体" w:cs="宋体"/>
          <w:b w:val="0"/>
          <w:i w:val="0"/>
          <w:strike w:val="0"/>
          <w:dstrike w:val="0"/>
          <w:color w:val="000000"/>
          <w:sz w:val="24"/>
          <w:szCs w:val="24"/>
          <w:lang w:eastAsia="zh-CN"/>
        </w:rPr>
        <w:t>，</w:t>
      </w:r>
      <w:r>
        <w:rPr>
          <w:rFonts w:hint="eastAsia" w:ascii="宋体" w:hAnsi="宋体" w:cs="宋体"/>
          <w:sz w:val="24"/>
          <w:szCs w:val="24"/>
          <w:lang w:val="en-US" w:eastAsia="zh-CN"/>
        </w:rPr>
        <w:t>就甲方所消纳电力部分产生的权益</w:t>
      </w:r>
      <w:r>
        <w:rPr>
          <w:rFonts w:ascii="宋体" w:hAnsi="宋体" w:eastAsia="宋体" w:cs="宋体"/>
          <w:b w:val="0"/>
          <w:i w:val="0"/>
          <w:strike w:val="0"/>
          <w:dstrike w:val="0"/>
          <w:color w:val="000000"/>
          <w:sz w:val="24"/>
          <w:szCs w:val="24"/>
        </w:rPr>
        <w:t>归</w:t>
      </w:r>
      <w:r>
        <w:rPr>
          <w:rFonts w:hint="eastAsia" w:ascii="宋体" w:hAnsi="宋体" w:cs="宋体"/>
          <w:b w:val="0"/>
          <w:i w:val="0"/>
          <w:strike w:val="0"/>
          <w:dstrike w:val="0"/>
          <w:color w:val="000000"/>
          <w:sz w:val="24"/>
          <w:szCs w:val="24"/>
          <w:lang w:val="en-US" w:eastAsia="zh-CN"/>
        </w:rPr>
        <w:t>甲方所有，电站所发剩余电力产生的权益，归乙方所有，实现上述权益产生的费用由各自承担</w:t>
      </w:r>
      <w:r>
        <w:rPr>
          <w:rFonts w:hint="eastAsia" w:ascii="宋体" w:hAnsi="宋体" w:cs="宋体"/>
          <w:b w:val="0"/>
          <w:i w:val="0"/>
          <w:strike w:val="0"/>
          <w:dstrike w:val="0"/>
          <w:color w:val="000000"/>
          <w:sz w:val="24"/>
          <w:szCs w:val="24"/>
          <w:lang w:eastAsia="zh-CN"/>
        </w:rPr>
        <w:t>。</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5.2</w:t>
      </w:r>
      <w:r>
        <w:rPr>
          <w:rFonts w:ascii="宋体" w:hAnsi="宋体" w:eastAsia="宋体" w:cs="宋体"/>
          <w:b w:val="0"/>
          <w:i w:val="0"/>
          <w:strike w:val="0"/>
          <w:dstrike w:val="0"/>
          <w:color w:val="000000"/>
          <w:sz w:val="24"/>
          <w:szCs w:val="24"/>
        </w:rPr>
        <w:t>如合同所涉租赁标的物或光伏电站依法被国家征收或政府拆迁的，甲方应在得到征收、拆迁信息后的三（</w:t>
      </w:r>
      <w:r>
        <w:rPr>
          <w:rFonts w:ascii="Times New Roman" w:hAnsi="Times New Roman" w:eastAsia="微软雅黑" w:cs="Times New Roman"/>
          <w:b w:val="0"/>
          <w:i w:val="0"/>
          <w:strike w:val="0"/>
          <w:dstrike w:val="0"/>
          <w:color w:val="000000"/>
          <w:sz w:val="24"/>
          <w:szCs w:val="24"/>
        </w:rPr>
        <w:t>3</w:t>
      </w:r>
      <w:r>
        <w:rPr>
          <w:rFonts w:ascii="宋体" w:hAnsi="宋体" w:eastAsia="宋体" w:cs="宋体"/>
          <w:b w:val="0"/>
          <w:i w:val="0"/>
          <w:strike w:val="0"/>
          <w:dstrike w:val="0"/>
          <w:color w:val="000000"/>
          <w:sz w:val="24"/>
          <w:szCs w:val="24"/>
        </w:rPr>
        <w:t>）日内通知乙方，涉及乙方光伏电站的所有补偿、赔偿均归乙方所有。</w:t>
      </w:r>
    </w:p>
    <w:p>
      <w:pPr>
        <w:widowControl/>
        <w:spacing w:beforeLines="50" w:afterLines="50" w:line="240" w:lineRule="auto"/>
        <w:ind w:leftChars="200" w:rightChars="0" w:firstLine="0" w:firstLineChars="0"/>
        <w:jc w:val="both"/>
        <w:rPr>
          <w:sz w:val="24"/>
          <w:szCs w:val="24"/>
        </w:rPr>
      </w:pPr>
      <w:r>
        <w:rPr>
          <w:rFonts w:ascii="宋体" w:hAnsi="宋体" w:eastAsia="宋体" w:cs="宋体"/>
          <w:b/>
          <w:i w:val="0"/>
          <w:strike w:val="0"/>
          <w:dstrike w:val="0"/>
          <w:color w:val="000000"/>
          <w:sz w:val="24"/>
          <w:szCs w:val="24"/>
        </w:rPr>
        <w:t xml:space="preserve">第六条 </w:t>
      </w:r>
      <w:r>
        <w:rPr>
          <w:rFonts w:hint="eastAsia" w:ascii="宋体" w:hAnsi="宋体" w:cs="宋体"/>
          <w:b/>
          <w:i w:val="0"/>
          <w:strike w:val="0"/>
          <w:dstrike w:val="0"/>
          <w:color w:val="000000"/>
          <w:sz w:val="24"/>
          <w:szCs w:val="24"/>
          <w:lang w:val="en-US" w:eastAsia="zh-CN"/>
        </w:rPr>
        <w:t>双方</w:t>
      </w:r>
      <w:r>
        <w:rPr>
          <w:rFonts w:ascii="宋体" w:hAnsi="宋体" w:eastAsia="宋体" w:cs="宋体"/>
          <w:b/>
          <w:i w:val="0"/>
          <w:strike w:val="0"/>
          <w:dstrike w:val="0"/>
          <w:color w:val="000000"/>
          <w:sz w:val="24"/>
          <w:szCs w:val="24"/>
        </w:rPr>
        <w:t>的权利与义务</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6.1</w:t>
      </w:r>
      <w:r>
        <w:rPr>
          <w:rFonts w:ascii="宋体" w:hAnsi="宋体" w:eastAsia="宋体" w:cs="宋体"/>
          <w:b w:val="0"/>
          <w:i w:val="0"/>
          <w:strike w:val="0"/>
          <w:dstrike w:val="0"/>
          <w:color w:val="000000"/>
          <w:sz w:val="24"/>
          <w:szCs w:val="24"/>
        </w:rPr>
        <w:t>甲方确认对提供给本项目使用的租赁标的物</w:t>
      </w:r>
      <w:r>
        <w:rPr>
          <w:rFonts w:hint="eastAsia" w:ascii="宋体" w:hAnsi="宋体" w:cs="宋体"/>
          <w:b w:val="0"/>
          <w:i w:val="0"/>
          <w:strike w:val="0"/>
          <w:dstrike w:val="0"/>
          <w:color w:val="000000"/>
          <w:sz w:val="24"/>
          <w:szCs w:val="24"/>
          <w:lang w:val="en-US" w:eastAsia="zh-CN"/>
        </w:rPr>
        <w:t>持续</w:t>
      </w:r>
      <w:r>
        <w:rPr>
          <w:rFonts w:ascii="宋体" w:hAnsi="宋体" w:eastAsia="宋体" w:cs="宋体"/>
          <w:b w:val="0"/>
          <w:i w:val="0"/>
          <w:strike w:val="0"/>
          <w:dstrike w:val="0"/>
          <w:color w:val="000000"/>
          <w:sz w:val="24"/>
          <w:szCs w:val="24"/>
        </w:rPr>
        <w:t>拥有完全的所有权或使用权，不存在任何产权纠纷或</w:t>
      </w:r>
      <w:r>
        <w:rPr>
          <w:rFonts w:hint="eastAsia" w:ascii="宋体" w:hAnsi="宋体" w:cs="宋体"/>
          <w:b w:val="0"/>
          <w:i w:val="0"/>
          <w:strike w:val="0"/>
          <w:dstrike w:val="0"/>
          <w:color w:val="000000"/>
          <w:sz w:val="24"/>
          <w:szCs w:val="24"/>
          <w:lang w:val="en-US" w:eastAsia="zh-CN"/>
        </w:rPr>
        <w:t>发生</w:t>
      </w:r>
      <w:r>
        <w:rPr>
          <w:rFonts w:ascii="宋体" w:hAnsi="宋体" w:eastAsia="宋体" w:cs="宋体"/>
          <w:b w:val="0"/>
          <w:i w:val="0"/>
          <w:strike w:val="0"/>
          <w:dstrike w:val="0"/>
          <w:color w:val="000000"/>
          <w:sz w:val="24"/>
          <w:szCs w:val="24"/>
        </w:rPr>
        <w:t>其他可能妨碍</w:t>
      </w:r>
      <w:r>
        <w:rPr>
          <w:rFonts w:hint="eastAsia" w:ascii="宋体" w:hAnsi="宋体" w:cs="宋体"/>
          <w:b w:val="0"/>
          <w:i w:val="0"/>
          <w:strike w:val="0"/>
          <w:dstrike w:val="0"/>
          <w:color w:val="000000"/>
          <w:sz w:val="24"/>
          <w:szCs w:val="24"/>
          <w:lang w:val="en-US" w:eastAsia="zh-CN"/>
        </w:rPr>
        <w:t>乙方在</w:t>
      </w:r>
      <w:r>
        <w:rPr>
          <w:rFonts w:ascii="宋体" w:hAnsi="宋体" w:eastAsia="宋体" w:cs="宋体"/>
          <w:b w:val="0"/>
          <w:i w:val="0"/>
          <w:strike w:val="0"/>
          <w:dstrike w:val="0"/>
          <w:color w:val="000000"/>
          <w:sz w:val="24"/>
          <w:szCs w:val="24"/>
        </w:rPr>
        <w:t>本项目</w:t>
      </w:r>
      <w:r>
        <w:rPr>
          <w:rFonts w:hint="eastAsia" w:ascii="宋体" w:hAnsi="宋体" w:cs="宋体"/>
          <w:b w:val="0"/>
          <w:i w:val="0"/>
          <w:strike w:val="0"/>
          <w:dstrike w:val="0"/>
          <w:color w:val="000000"/>
          <w:sz w:val="24"/>
          <w:szCs w:val="24"/>
          <w:lang w:val="en-US" w:eastAsia="zh-CN"/>
        </w:rPr>
        <w:t>效益分享期内持续</w:t>
      </w:r>
      <w:r>
        <w:rPr>
          <w:rFonts w:ascii="宋体" w:hAnsi="宋体" w:eastAsia="宋体" w:cs="宋体"/>
          <w:b w:val="0"/>
          <w:i w:val="0"/>
          <w:strike w:val="0"/>
          <w:dstrike w:val="0"/>
          <w:color w:val="000000"/>
          <w:sz w:val="24"/>
          <w:szCs w:val="24"/>
        </w:rPr>
        <w:t>开展</w:t>
      </w:r>
      <w:r>
        <w:rPr>
          <w:rFonts w:hint="eastAsia" w:ascii="宋体" w:hAnsi="宋体" w:cs="宋体"/>
          <w:b w:val="0"/>
          <w:i w:val="0"/>
          <w:strike w:val="0"/>
          <w:dstrike w:val="0"/>
          <w:color w:val="000000"/>
          <w:sz w:val="24"/>
          <w:szCs w:val="24"/>
          <w:lang w:val="en-US" w:eastAsia="zh-CN"/>
        </w:rPr>
        <w:t>经营</w:t>
      </w:r>
      <w:r>
        <w:rPr>
          <w:rFonts w:ascii="宋体" w:hAnsi="宋体" w:eastAsia="宋体" w:cs="宋体"/>
          <w:b w:val="0"/>
          <w:i w:val="0"/>
          <w:strike w:val="0"/>
          <w:dstrike w:val="0"/>
          <w:color w:val="000000"/>
          <w:sz w:val="24"/>
          <w:szCs w:val="24"/>
        </w:rPr>
        <w:t>的情形</w:t>
      </w:r>
      <w:r>
        <w:rPr>
          <w:rFonts w:hint="eastAsia" w:ascii="宋体" w:hAnsi="宋体" w:cs="宋体"/>
          <w:b w:val="0"/>
          <w:i w:val="0"/>
          <w:strike w:val="0"/>
          <w:dstrike w:val="0"/>
          <w:color w:val="000000"/>
          <w:sz w:val="24"/>
          <w:szCs w:val="24"/>
          <w:lang w:eastAsia="zh-CN"/>
        </w:rPr>
        <w:t>。</w:t>
      </w:r>
      <w:r>
        <w:rPr>
          <w:rFonts w:hint="eastAsia" w:ascii="宋体" w:hAnsi="宋体" w:cs="宋体"/>
          <w:b w:val="0"/>
          <w:i w:val="0"/>
          <w:strike w:val="0"/>
          <w:dstrike w:val="0"/>
          <w:color w:val="000000"/>
          <w:sz w:val="24"/>
          <w:szCs w:val="24"/>
          <w:lang w:val="en-US" w:eastAsia="zh-CN"/>
        </w:rPr>
        <w:t>甲方同时应向乙方提供租赁标的物完整不动产权证用于项目备案，如暂时无法提供完整的不动产权证，则甲方应</w:t>
      </w:r>
      <w:r>
        <w:rPr>
          <w:rFonts w:hint="default" w:ascii="宋体" w:hAnsi="宋体" w:cs="宋体"/>
          <w:b w:val="0"/>
          <w:i w:val="0"/>
          <w:strike w:val="0"/>
          <w:dstrike w:val="0"/>
          <w:color w:val="000000"/>
          <w:sz w:val="24"/>
          <w:szCs w:val="24"/>
          <w:lang w:eastAsia="zh-CN"/>
        </w:rPr>
        <w:t>先行</w:t>
      </w:r>
      <w:r>
        <w:rPr>
          <w:rFonts w:hint="eastAsia" w:ascii="宋体" w:hAnsi="宋体" w:cs="宋体"/>
          <w:b w:val="0"/>
          <w:i w:val="0"/>
          <w:strike w:val="0"/>
          <w:dstrike w:val="0"/>
          <w:color w:val="000000"/>
          <w:sz w:val="24"/>
          <w:szCs w:val="24"/>
          <w:lang w:val="en-US" w:eastAsia="zh-CN"/>
        </w:rPr>
        <w:t>提供对应租赁标的物的土地证、用地规划许可证、工程规划许可证、工程施工许可证及消防验收、竣工验收材料，待</w:t>
      </w:r>
      <w:r>
        <w:rPr>
          <w:rFonts w:hint="eastAsia" w:ascii="宋体" w:hAnsi="宋体" w:cs="宋体"/>
          <w:color w:val="000000"/>
          <w:sz w:val="24"/>
          <w:szCs w:val="24"/>
          <w:lang w:val="en-US" w:eastAsia="zh-CN"/>
        </w:rPr>
        <w:t>不动产权</w:t>
      </w:r>
      <w:r>
        <w:rPr>
          <w:rFonts w:hint="eastAsia" w:ascii="宋体" w:hAnsi="宋体" w:cs="宋体"/>
          <w:color w:val="000000"/>
          <w:sz w:val="24"/>
          <w:szCs w:val="24"/>
        </w:rPr>
        <w:t>证</w:t>
      </w:r>
      <w:r>
        <w:rPr>
          <w:rFonts w:hint="eastAsia" w:ascii="宋体" w:hAnsi="宋体" w:cs="宋体"/>
          <w:b w:val="0"/>
          <w:i w:val="0"/>
          <w:strike w:val="0"/>
          <w:dstrike w:val="0"/>
          <w:color w:val="000000"/>
          <w:sz w:val="24"/>
          <w:szCs w:val="24"/>
          <w:lang w:val="en-US" w:eastAsia="zh-CN"/>
        </w:rPr>
        <w:t>办齐后及时提供乙方</w:t>
      </w:r>
      <w:r>
        <w:rPr>
          <w:rFonts w:ascii="宋体" w:hAnsi="宋体" w:eastAsia="宋体" w:cs="宋体"/>
          <w:b w:val="0"/>
          <w:i w:val="0"/>
          <w:strike w:val="0"/>
          <w:dstrike w:val="0"/>
          <w:color w:val="000000"/>
          <w:sz w:val="24"/>
          <w:szCs w:val="24"/>
        </w:rPr>
        <w:t>。若本合同签署时，本合同所涉及房屋、土地上已设立抵押权、地役权或其他任何权利负担</w:t>
      </w:r>
      <w:r>
        <w:rPr>
          <w:rFonts w:hint="eastAsia" w:ascii="宋体" w:hAnsi="宋体" w:cs="宋体"/>
          <w:b w:val="0"/>
          <w:i w:val="0"/>
          <w:strike w:val="0"/>
          <w:dstrike w:val="0"/>
          <w:color w:val="000000"/>
          <w:sz w:val="24"/>
          <w:szCs w:val="24"/>
          <w:lang w:val="en-US" w:eastAsia="zh-CN"/>
        </w:rPr>
        <w:t>的</w:t>
      </w:r>
      <w:r>
        <w:rPr>
          <w:rFonts w:ascii="宋体" w:hAnsi="宋体" w:eastAsia="宋体" w:cs="宋体"/>
          <w:b w:val="0"/>
          <w:i w:val="0"/>
          <w:strike w:val="0"/>
          <w:dstrike w:val="0"/>
          <w:color w:val="000000"/>
          <w:sz w:val="24"/>
          <w:szCs w:val="24"/>
        </w:rPr>
        <w:t>，</w:t>
      </w:r>
      <w:r>
        <w:rPr>
          <w:rFonts w:hint="eastAsia" w:ascii="宋体" w:hAnsi="宋体" w:cs="宋体"/>
          <w:b w:val="0"/>
          <w:i w:val="0"/>
          <w:strike w:val="0"/>
          <w:dstrike w:val="0"/>
          <w:color w:val="000000"/>
          <w:sz w:val="24"/>
          <w:szCs w:val="24"/>
          <w:lang w:val="en-US" w:eastAsia="zh-CN"/>
        </w:rPr>
        <w:t>甲方应</w:t>
      </w:r>
      <w:r>
        <w:rPr>
          <w:rFonts w:ascii="宋体" w:hAnsi="宋体" w:eastAsia="宋体" w:cs="宋体"/>
          <w:b w:val="0"/>
          <w:i w:val="0"/>
          <w:strike w:val="0"/>
          <w:dstrike w:val="0"/>
          <w:color w:val="000000"/>
          <w:sz w:val="24"/>
          <w:szCs w:val="24"/>
        </w:rPr>
        <w:t>确保</w:t>
      </w:r>
      <w:r>
        <w:rPr>
          <w:rFonts w:hint="eastAsia" w:ascii="宋体" w:hAnsi="宋体" w:cs="宋体"/>
          <w:b w:val="0"/>
          <w:i w:val="0"/>
          <w:strike w:val="0"/>
          <w:dstrike w:val="0"/>
          <w:color w:val="000000"/>
          <w:sz w:val="24"/>
          <w:szCs w:val="24"/>
          <w:lang w:val="en-US" w:eastAsia="zh-CN"/>
        </w:rPr>
        <w:t>合同有效期间</w:t>
      </w:r>
      <w:r>
        <w:rPr>
          <w:rFonts w:ascii="宋体" w:hAnsi="宋体" w:eastAsia="宋体" w:cs="宋体"/>
          <w:b w:val="0"/>
          <w:i w:val="0"/>
          <w:strike w:val="0"/>
          <w:dstrike w:val="0"/>
          <w:color w:val="000000"/>
          <w:sz w:val="24"/>
          <w:szCs w:val="24"/>
        </w:rPr>
        <w:t>不影响乙方在本合同项下的权利。</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6.2</w:t>
      </w:r>
      <w:r>
        <w:rPr>
          <w:rFonts w:ascii="宋体" w:hAnsi="宋体" w:eastAsia="宋体" w:cs="宋体"/>
          <w:b w:val="0"/>
          <w:i w:val="0"/>
          <w:strike w:val="0"/>
          <w:dstrike w:val="0"/>
          <w:color w:val="000000"/>
          <w:sz w:val="24"/>
          <w:szCs w:val="24"/>
        </w:rPr>
        <w:t>甲方应协助乙方办理项目包括不限于申报、备案、电网接入等电站相关的手续。</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6.3</w:t>
      </w:r>
      <w:r>
        <w:rPr>
          <w:rFonts w:ascii="宋体" w:hAnsi="宋体" w:eastAsia="宋体" w:cs="宋体"/>
          <w:b w:val="0"/>
          <w:i w:val="0"/>
          <w:strike w:val="0"/>
          <w:dstrike w:val="0"/>
          <w:color w:val="000000"/>
          <w:sz w:val="24"/>
          <w:szCs w:val="24"/>
        </w:rPr>
        <w:t>甲方应为乙方提供符合光伏项目要求的租赁标的物和厂房绿化区域，为乙方提供光伏发电设施安装所需的电缆井通道、设备房、设备存放区域、配电设备空间等配合条件。</w:t>
      </w:r>
      <w:r>
        <w:rPr>
          <w:rFonts w:ascii="宋体" w:hAnsi="宋体" w:eastAsia="宋体" w:cs="宋体"/>
          <w:b w:val="0"/>
          <w:i w:val="0"/>
          <w:strike w:val="0"/>
          <w:dstrike w:val="0"/>
          <w:color w:val="000000"/>
          <w:sz w:val="24"/>
          <w:szCs w:val="24"/>
          <w:shd w:val="clear" w:fill="FFFFFF"/>
        </w:rPr>
        <w:t>甲方应向乙方提供电气系统图、建筑结构图（整册）、生产负荷用电曲线等涉及施工设计的相关资料，其中建筑结构图和电气系统图均须为竣工图，并确保资料的真实性、准确性，乙方应对所获悉的相关资料保守秘密。</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6.4</w:t>
      </w:r>
      <w:r>
        <w:rPr>
          <w:rFonts w:ascii="宋体" w:hAnsi="宋体" w:eastAsia="宋体" w:cs="宋体"/>
          <w:b w:val="0"/>
          <w:i w:val="0"/>
          <w:strike w:val="0"/>
          <w:dstrike w:val="0"/>
          <w:color w:val="000000"/>
          <w:sz w:val="24"/>
          <w:szCs w:val="24"/>
        </w:rPr>
        <w:t>甲方应确保项目开工建设前，</w:t>
      </w:r>
      <w:r>
        <w:rPr>
          <w:rFonts w:hint="eastAsia" w:ascii="宋体" w:hAnsi="宋体" w:cs="宋体"/>
          <w:b w:val="0"/>
          <w:i w:val="0"/>
          <w:strike w:val="0"/>
          <w:dstrike w:val="0"/>
          <w:color w:val="000000"/>
          <w:sz w:val="24"/>
          <w:szCs w:val="24"/>
          <w:lang w:val="en-US" w:eastAsia="zh-CN"/>
        </w:rPr>
        <w:t>项目所使用的租赁标的物已竣工验收，同时</w:t>
      </w:r>
      <w:r>
        <w:rPr>
          <w:rFonts w:ascii="宋体" w:hAnsi="宋体" w:eastAsia="宋体" w:cs="宋体"/>
          <w:b w:val="0"/>
          <w:i w:val="0"/>
          <w:strike w:val="0"/>
          <w:dstrike w:val="0"/>
          <w:color w:val="000000"/>
          <w:sz w:val="24"/>
          <w:szCs w:val="24"/>
        </w:rPr>
        <w:t>项目建设所在地道路通畅且具备项目建设所需的水、电、通讯及排水通</w:t>
      </w:r>
      <w:r>
        <w:rPr>
          <w:rFonts w:hint="eastAsia" w:ascii="宋体" w:hAnsi="宋体" w:cs="宋体"/>
          <w:b w:val="0"/>
          <w:i w:val="0"/>
          <w:strike w:val="0"/>
          <w:dstrike w:val="0"/>
          <w:color w:val="000000"/>
          <w:sz w:val="24"/>
          <w:szCs w:val="24"/>
          <w:lang w:val="en-US" w:eastAsia="zh-CN"/>
        </w:rPr>
        <w:t>道</w:t>
      </w:r>
      <w:r>
        <w:rPr>
          <w:rFonts w:ascii="宋体" w:hAnsi="宋体" w:eastAsia="宋体" w:cs="宋体"/>
          <w:b w:val="0"/>
          <w:i w:val="0"/>
          <w:strike w:val="0"/>
          <w:dstrike w:val="0"/>
          <w:color w:val="000000"/>
          <w:sz w:val="24"/>
          <w:szCs w:val="24"/>
        </w:rPr>
        <w:t>红线位置等施工条件，就所发生的水电费用，由乙方据实支付；在安装前，甲方应按乙方要求免费协助乙方审慎保管本项目建设所需的设备和相关材料、配件。</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highlight w:val="yellow"/>
        </w:rPr>
      </w:pPr>
      <w:r>
        <w:rPr>
          <w:rFonts w:hint="eastAsia" w:ascii="宋体" w:hAnsi="宋体" w:cs="宋体"/>
          <w:b w:val="0"/>
          <w:i w:val="0"/>
          <w:strike w:val="0"/>
          <w:dstrike w:val="0"/>
          <w:color w:val="000000"/>
          <w:sz w:val="24"/>
          <w:szCs w:val="24"/>
          <w:highlight w:val="yellow"/>
          <w:lang w:val="en-US" w:eastAsia="zh-CN"/>
        </w:rPr>
        <w:t>6.5</w:t>
      </w:r>
      <w:r>
        <w:rPr>
          <w:rFonts w:ascii="宋体" w:hAnsi="宋体" w:eastAsia="宋体" w:cs="宋体"/>
          <w:b w:val="0"/>
          <w:i w:val="0"/>
          <w:strike w:val="0"/>
          <w:dstrike w:val="0"/>
          <w:color w:val="000000"/>
          <w:sz w:val="24"/>
          <w:szCs w:val="24"/>
          <w:highlight w:val="yellow"/>
        </w:rPr>
        <w:t>项目运营期间，甲方为乙方维护、检测、修理项目设施和设备提供便利，保证乙方合理地接触与本项目有关的设施和设备，如遇需要甲方协调停电等事宜，甲方应积极配合。项目开工建设前，甲方应对租赁标的物进行整体检查，确保向乙方移交完整、可使用的租赁标的物</w:t>
      </w:r>
      <w:r>
        <w:rPr>
          <w:rFonts w:hint="eastAsia" w:ascii="宋体" w:hAnsi="宋体" w:cs="宋体"/>
          <w:b w:val="0"/>
          <w:i w:val="0"/>
          <w:strike w:val="0"/>
          <w:dstrike w:val="0"/>
          <w:color w:val="000000"/>
          <w:sz w:val="24"/>
          <w:szCs w:val="24"/>
          <w:highlight w:val="yellow"/>
          <w:lang w:eastAsia="zh-CN"/>
        </w:rPr>
        <w:t>，</w:t>
      </w:r>
      <w:r>
        <w:rPr>
          <w:rFonts w:hint="eastAsia" w:ascii="宋体" w:hAnsi="宋体" w:cs="宋体"/>
          <w:b w:val="0"/>
          <w:i w:val="0"/>
          <w:strike w:val="0"/>
          <w:dstrike w:val="0"/>
          <w:color w:val="000000"/>
          <w:sz w:val="24"/>
          <w:szCs w:val="24"/>
          <w:highlight w:val="yellow"/>
          <w:lang w:val="en-US" w:eastAsia="zh-CN"/>
        </w:rPr>
        <w:t>双方签署确认书确认租赁标的物状况</w:t>
      </w:r>
      <w:r>
        <w:rPr>
          <w:rFonts w:ascii="宋体" w:hAnsi="宋体" w:eastAsia="宋体" w:cs="宋体"/>
          <w:b w:val="0"/>
          <w:i w:val="0"/>
          <w:strike w:val="0"/>
          <w:dstrike w:val="0"/>
          <w:color w:val="000000"/>
          <w:sz w:val="24"/>
          <w:szCs w:val="24"/>
          <w:highlight w:val="yellow"/>
        </w:rPr>
        <w:t>。</w:t>
      </w:r>
      <w:bookmarkStart w:id="18" w:name="OLE_LINK24"/>
      <w:r>
        <w:rPr>
          <w:rFonts w:ascii="宋体" w:hAnsi="宋体" w:eastAsia="宋体" w:cs="宋体"/>
          <w:b w:val="0"/>
          <w:i w:val="0"/>
          <w:strike w:val="0"/>
          <w:dstrike w:val="0"/>
          <w:color w:val="000000"/>
          <w:sz w:val="24"/>
          <w:szCs w:val="24"/>
          <w:highlight w:val="yellow"/>
        </w:rPr>
        <w:t>项目运营期间，</w:t>
      </w:r>
      <w:r>
        <w:rPr>
          <w:rFonts w:hint="default" w:ascii="宋体" w:hAnsi="宋体" w:eastAsia="宋体" w:cs="宋体"/>
          <w:b w:val="0"/>
          <w:i w:val="0"/>
          <w:strike w:val="0"/>
          <w:dstrike w:val="0"/>
          <w:color w:val="000000"/>
          <w:sz w:val="24"/>
          <w:szCs w:val="24"/>
          <w:highlight w:val="yellow"/>
        </w:rPr>
        <w:t>乙方全权负责租赁标的物及光伏电站的维护</w:t>
      </w:r>
      <w:bookmarkEnd w:id="18"/>
      <w:r>
        <w:rPr>
          <w:rFonts w:hint="default" w:ascii="宋体" w:hAnsi="宋体" w:eastAsia="宋体" w:cs="宋体"/>
          <w:b w:val="0"/>
          <w:i w:val="0"/>
          <w:strike w:val="0"/>
          <w:dstrike w:val="0"/>
          <w:color w:val="000000"/>
          <w:sz w:val="24"/>
          <w:szCs w:val="24"/>
          <w:highlight w:val="yellow"/>
        </w:rPr>
        <w:t>。若</w:t>
      </w:r>
      <w:r>
        <w:rPr>
          <w:rFonts w:hint="eastAsia" w:ascii="宋体" w:hAnsi="宋体" w:cs="宋体"/>
          <w:b w:val="0"/>
          <w:i w:val="0"/>
          <w:strike w:val="0"/>
          <w:dstrike w:val="0"/>
          <w:color w:val="000000"/>
          <w:sz w:val="24"/>
          <w:szCs w:val="24"/>
          <w:highlight w:val="yellow"/>
          <w:lang w:val="en-US" w:eastAsia="zh-CN"/>
        </w:rPr>
        <w:t>光伏设备或</w:t>
      </w:r>
      <w:r>
        <w:rPr>
          <w:rFonts w:hint="default" w:ascii="宋体" w:hAnsi="宋体" w:eastAsia="宋体" w:cs="宋体"/>
          <w:b w:val="0"/>
          <w:i w:val="0"/>
          <w:strike w:val="0"/>
          <w:dstrike w:val="0"/>
          <w:color w:val="000000"/>
          <w:sz w:val="24"/>
          <w:szCs w:val="24"/>
          <w:highlight w:val="yellow"/>
        </w:rPr>
        <w:t>租赁标的物因甲方原因（如人为破坏、不当使用等）导致渗漏、损毁的，由甲方负责维修并承担费用；其他情形（包括自然老化、不可抗力等）导致的维护、维修责任及费用均由乙方承担。甲方不得干扰乙方正常的运营维护工作。</w:t>
      </w:r>
      <w:r>
        <w:commentReference w:id="5"/>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6.6</w:t>
      </w:r>
      <w:r>
        <w:rPr>
          <w:rFonts w:ascii="宋体" w:hAnsi="宋体" w:eastAsia="宋体" w:cs="宋体"/>
          <w:b w:val="0"/>
          <w:i w:val="0"/>
          <w:strike w:val="0"/>
          <w:dstrike w:val="0"/>
          <w:color w:val="000000"/>
          <w:sz w:val="24"/>
          <w:szCs w:val="24"/>
        </w:rPr>
        <w:t>项目运行期内，若甲方对</w:t>
      </w:r>
      <w:r>
        <w:rPr>
          <w:rFonts w:hint="eastAsia" w:ascii="宋体" w:hAnsi="宋体" w:cs="宋体"/>
          <w:b w:val="0"/>
          <w:i w:val="0"/>
          <w:strike w:val="0"/>
          <w:dstrike w:val="0"/>
          <w:color w:val="000000"/>
          <w:sz w:val="24"/>
          <w:szCs w:val="24"/>
          <w:lang w:eastAsia="zh-CN"/>
        </w:rPr>
        <w:t>租赁标的物</w:t>
      </w:r>
      <w:r>
        <w:rPr>
          <w:rFonts w:ascii="宋体" w:hAnsi="宋体" w:eastAsia="宋体" w:cs="宋体"/>
          <w:b w:val="0"/>
          <w:i w:val="0"/>
          <w:strike w:val="0"/>
          <w:dstrike w:val="0"/>
          <w:color w:val="000000"/>
          <w:sz w:val="24"/>
          <w:szCs w:val="24"/>
        </w:rPr>
        <w:t>进行改造、维护</w:t>
      </w:r>
      <w:r>
        <w:rPr>
          <w:rFonts w:hint="eastAsia" w:ascii="宋体" w:hAnsi="宋体" w:cs="宋体"/>
          <w:b w:val="0"/>
          <w:i w:val="0"/>
          <w:strike w:val="0"/>
          <w:dstrike w:val="0"/>
          <w:color w:val="000000"/>
          <w:sz w:val="24"/>
          <w:szCs w:val="24"/>
          <w:lang w:eastAsia="zh-CN"/>
        </w:rPr>
        <w:t>、</w:t>
      </w:r>
      <w:r>
        <w:rPr>
          <w:rFonts w:hint="eastAsia" w:ascii="宋体" w:hAnsi="宋体" w:cs="宋体"/>
          <w:b w:val="0"/>
          <w:i w:val="0"/>
          <w:strike w:val="0"/>
          <w:dstrike w:val="0"/>
          <w:color w:val="000000"/>
          <w:sz w:val="24"/>
          <w:szCs w:val="24"/>
          <w:lang w:val="en-US" w:eastAsia="zh-CN"/>
        </w:rPr>
        <w:t>移除</w:t>
      </w:r>
      <w:r>
        <w:rPr>
          <w:rFonts w:ascii="宋体" w:hAnsi="宋体" w:eastAsia="宋体" w:cs="宋体"/>
          <w:b w:val="0"/>
          <w:i w:val="0"/>
          <w:strike w:val="0"/>
          <w:dstrike w:val="0"/>
          <w:color w:val="000000"/>
          <w:sz w:val="24"/>
          <w:szCs w:val="24"/>
        </w:rPr>
        <w:t>（包括不限于彩钢瓦自然老化下的换瓦），</w:t>
      </w:r>
      <w:r>
        <w:rPr>
          <w:rFonts w:hint="eastAsia" w:ascii="宋体" w:hAnsi="宋体" w:cs="宋体"/>
          <w:color w:val="000000"/>
          <w:sz w:val="24"/>
          <w:szCs w:val="24"/>
        </w:rPr>
        <w:t>应提前与乙方协商一致，后续按照甲乙双方认可的方案进行改造、维护、移除</w:t>
      </w:r>
      <w:r>
        <w:rPr>
          <w:rFonts w:ascii="宋体" w:hAnsi="宋体" w:eastAsia="宋体" w:cs="宋体"/>
          <w:b w:val="0"/>
          <w:i w:val="0"/>
          <w:strike w:val="0"/>
          <w:dstrike w:val="0"/>
          <w:color w:val="000000"/>
          <w:sz w:val="24"/>
          <w:szCs w:val="24"/>
        </w:rPr>
        <w:t>，甲方应保证改造后的</w:t>
      </w:r>
      <w:r>
        <w:rPr>
          <w:rFonts w:hint="eastAsia" w:ascii="宋体" w:hAnsi="宋体" w:cs="宋体"/>
          <w:b w:val="0"/>
          <w:i w:val="0"/>
          <w:strike w:val="0"/>
          <w:dstrike w:val="0"/>
          <w:color w:val="000000"/>
          <w:sz w:val="24"/>
          <w:szCs w:val="24"/>
          <w:lang w:eastAsia="zh-CN"/>
        </w:rPr>
        <w:t>租赁标的物</w:t>
      </w:r>
      <w:r>
        <w:rPr>
          <w:rFonts w:ascii="宋体" w:hAnsi="宋体" w:eastAsia="宋体" w:cs="宋体"/>
          <w:b w:val="0"/>
          <w:i w:val="0"/>
          <w:strike w:val="0"/>
          <w:dstrike w:val="0"/>
          <w:color w:val="000000"/>
          <w:sz w:val="24"/>
          <w:szCs w:val="24"/>
        </w:rPr>
        <w:t>仍应当适于光伏电站发电的要求</w:t>
      </w:r>
      <w:r>
        <w:rPr>
          <w:rFonts w:ascii="宋体" w:hAnsi="宋体" w:eastAsia="宋体" w:cs="宋体"/>
          <w:b w:val="0"/>
          <w:i w:val="0"/>
          <w:strike w:val="0"/>
          <w:dstrike w:val="0"/>
          <w:color w:val="000000"/>
          <w:sz w:val="24"/>
          <w:szCs w:val="24"/>
          <w:shd w:val="clear" w:fill="FFFFFF"/>
        </w:rPr>
        <w:t>。</w:t>
      </w:r>
      <w:r>
        <w:rPr>
          <w:rFonts w:hint="eastAsia" w:ascii="宋体" w:hAnsi="宋体" w:eastAsia="宋体" w:cs="宋体"/>
          <w:b w:val="0"/>
          <w:i w:val="0"/>
          <w:strike w:val="0"/>
          <w:dstrike w:val="0"/>
          <w:color w:val="000000"/>
          <w:sz w:val="24"/>
          <w:szCs w:val="24"/>
          <w:shd w:val="clear" w:fill="FFFFFF"/>
        </w:rPr>
        <w:t>项目运营期内，彩钢瓦</w:t>
      </w:r>
      <w:r>
        <w:rPr>
          <w:rFonts w:hint="eastAsia" w:ascii="宋体" w:hAnsi="宋体" w:cs="宋体"/>
          <w:b w:val="0"/>
          <w:i w:val="0"/>
          <w:strike w:val="0"/>
          <w:dstrike w:val="0"/>
          <w:color w:val="000000"/>
          <w:sz w:val="24"/>
          <w:szCs w:val="24"/>
          <w:shd w:val="clear" w:fill="FFFFFF"/>
          <w:lang w:eastAsia="zh-CN"/>
        </w:rPr>
        <w:t>租赁标的物</w:t>
      </w:r>
      <w:r>
        <w:rPr>
          <w:rFonts w:hint="eastAsia" w:ascii="宋体" w:hAnsi="宋体" w:eastAsia="宋体" w:cs="宋体"/>
          <w:b w:val="0"/>
          <w:i w:val="0"/>
          <w:strike w:val="0"/>
          <w:dstrike w:val="0"/>
          <w:color w:val="000000"/>
          <w:sz w:val="24"/>
          <w:szCs w:val="24"/>
          <w:shd w:val="clear" w:fill="FFFFFF"/>
        </w:rPr>
        <w:t>区域且项目安装方式为BAPV形式的，乙方可承担一次移除电站设备拆装费用，除此之外电站拆装费用均由甲方承担</w:t>
      </w:r>
      <w:r>
        <w:rPr>
          <w:rFonts w:hint="eastAsia" w:ascii="宋体" w:hAnsi="宋体" w:cs="宋体"/>
          <w:b w:val="0"/>
          <w:i w:val="0"/>
          <w:strike w:val="0"/>
          <w:dstrike w:val="0"/>
          <w:color w:val="000000"/>
          <w:sz w:val="24"/>
          <w:szCs w:val="24"/>
          <w:shd w:val="clear" w:fill="FFFFFF"/>
          <w:lang w:eastAsia="zh-CN"/>
        </w:rPr>
        <w:t>。</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6.7</w:t>
      </w:r>
      <w:r>
        <w:rPr>
          <w:rFonts w:ascii="宋体" w:hAnsi="宋体" w:eastAsia="宋体" w:cs="宋体"/>
          <w:b w:val="0"/>
          <w:i w:val="0"/>
          <w:strike w:val="0"/>
          <w:dstrike w:val="0"/>
          <w:color w:val="000000"/>
          <w:sz w:val="24"/>
          <w:szCs w:val="24"/>
        </w:rPr>
        <w:t>项目运营期内，若甲方对房屋进行重建或搬迁，需要乙方拆除光伏设备的，甲方应提前3个月通知乙方，并提供同等条件的</w:t>
      </w:r>
      <w:r>
        <w:rPr>
          <w:rFonts w:hint="eastAsia" w:ascii="宋体" w:hAnsi="宋体" w:cs="宋体"/>
          <w:b w:val="0"/>
          <w:i w:val="0"/>
          <w:strike w:val="0"/>
          <w:dstrike w:val="0"/>
          <w:color w:val="000000"/>
          <w:sz w:val="24"/>
          <w:szCs w:val="24"/>
          <w:lang w:eastAsia="zh-CN"/>
        </w:rPr>
        <w:t>租赁标的物</w:t>
      </w:r>
      <w:r>
        <w:rPr>
          <w:rFonts w:ascii="宋体" w:hAnsi="宋体" w:eastAsia="宋体" w:cs="宋体"/>
          <w:b w:val="0"/>
          <w:i w:val="0"/>
          <w:strike w:val="0"/>
          <w:dstrike w:val="0"/>
          <w:color w:val="000000"/>
          <w:sz w:val="24"/>
          <w:szCs w:val="24"/>
        </w:rPr>
        <w:t>供乙方建设光伏电站，每次搬迁发生的费用（停电损失+</w:t>
      </w:r>
      <w:r>
        <w:rPr>
          <w:rFonts w:hint="eastAsia" w:ascii="宋体" w:hAnsi="宋体" w:cs="宋体"/>
          <w:b w:val="0"/>
          <w:i w:val="0"/>
          <w:strike w:val="0"/>
          <w:dstrike w:val="0"/>
          <w:color w:val="000000"/>
          <w:sz w:val="24"/>
          <w:szCs w:val="24"/>
          <w:lang w:val="en-US" w:eastAsia="zh-CN"/>
        </w:rPr>
        <w:t>实际费用</w:t>
      </w:r>
      <w:r>
        <w:rPr>
          <w:rFonts w:ascii="宋体" w:hAnsi="宋体" w:eastAsia="宋体" w:cs="宋体"/>
          <w:b w:val="0"/>
          <w:i w:val="0"/>
          <w:strike w:val="0"/>
          <w:dstrike w:val="0"/>
          <w:color w:val="000000"/>
          <w:sz w:val="24"/>
          <w:szCs w:val="24"/>
        </w:rPr>
        <w:t>，其中停电损失按照</w:t>
      </w:r>
      <w:r>
        <w:rPr>
          <w:rFonts w:hint="eastAsia" w:ascii="宋体" w:hAnsi="宋体" w:cs="宋体"/>
          <w:b w:val="0"/>
          <w:i w:val="0"/>
          <w:strike w:val="0"/>
          <w:dstrike w:val="0"/>
          <w:color w:val="000000"/>
          <w:sz w:val="24"/>
          <w:szCs w:val="24"/>
          <w:lang w:val="en-US" w:eastAsia="zh-CN"/>
        </w:rPr>
        <w:t>8</w:t>
      </w:r>
      <w:r>
        <w:rPr>
          <w:rFonts w:ascii="宋体" w:hAnsi="宋体" w:eastAsia="宋体" w:cs="宋体"/>
          <w:b w:val="0"/>
          <w:i w:val="0"/>
          <w:strike w:val="0"/>
          <w:dstrike w:val="0"/>
          <w:color w:val="000000"/>
          <w:sz w:val="24"/>
          <w:szCs w:val="24"/>
        </w:rPr>
        <w:t>.4条约定计算）均由甲方承担，</w:t>
      </w:r>
      <w:r>
        <w:rPr>
          <w:rFonts w:hint="eastAsia" w:ascii="宋体" w:hAnsi="宋体" w:eastAsia="宋体" w:cs="宋体"/>
          <w:b w:val="0"/>
          <w:i w:val="0"/>
          <w:strike w:val="0"/>
          <w:dstrike w:val="0"/>
          <w:color w:val="000000"/>
          <w:sz w:val="24"/>
          <w:szCs w:val="24"/>
        </w:rPr>
        <w:t>如甲方提出的房屋重建或搬迁方案乙方无法接受的，视为甲方原因导致合同解除，按照本合同第</w:t>
      </w:r>
      <w:r>
        <w:rPr>
          <w:rFonts w:hint="eastAsia" w:ascii="宋体" w:hAnsi="宋体" w:cs="宋体"/>
          <w:b w:val="0"/>
          <w:i w:val="0"/>
          <w:strike w:val="0"/>
          <w:dstrike w:val="0"/>
          <w:color w:val="000000"/>
          <w:sz w:val="24"/>
          <w:szCs w:val="24"/>
          <w:lang w:val="en-US" w:eastAsia="zh-CN"/>
        </w:rPr>
        <w:t>8</w:t>
      </w:r>
      <w:r>
        <w:rPr>
          <w:rFonts w:hint="eastAsia" w:ascii="宋体" w:hAnsi="宋体" w:eastAsia="宋体" w:cs="宋体"/>
          <w:b w:val="0"/>
          <w:i w:val="0"/>
          <w:strike w:val="0"/>
          <w:dstrike w:val="0"/>
          <w:color w:val="000000"/>
          <w:sz w:val="24"/>
          <w:szCs w:val="24"/>
        </w:rPr>
        <w:t>.3条执行</w:t>
      </w:r>
      <w:r>
        <w:rPr>
          <w:rFonts w:ascii="宋体" w:hAnsi="宋体" w:eastAsia="宋体" w:cs="宋体"/>
          <w:b w:val="0"/>
          <w:i w:val="0"/>
          <w:strike w:val="0"/>
          <w:dstrike w:val="0"/>
          <w:color w:val="000000"/>
          <w:sz w:val="24"/>
          <w:szCs w:val="24"/>
        </w:rPr>
        <w:t>。</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6.8</w:t>
      </w:r>
      <w:r>
        <w:rPr>
          <w:rFonts w:ascii="宋体" w:hAnsi="宋体" w:eastAsia="宋体" w:cs="宋体"/>
          <w:b w:val="0"/>
          <w:i w:val="0"/>
          <w:strike w:val="0"/>
          <w:dstrike w:val="0"/>
          <w:color w:val="000000"/>
          <w:sz w:val="24"/>
          <w:szCs w:val="24"/>
        </w:rPr>
        <w:t>单次改造、维护、移除导致乙方停电不超过1个月，累计停电不超过3个月的，乙方的停电损失甲方无需承担，项目运营期顺延；单次停电超过1个月或累计停电超过3个月的部分，甲方按照</w:t>
      </w:r>
      <w:r>
        <w:rPr>
          <w:rFonts w:hint="eastAsia" w:ascii="宋体" w:hAnsi="宋体" w:cs="宋体"/>
          <w:b w:val="0"/>
          <w:i w:val="0"/>
          <w:strike w:val="0"/>
          <w:dstrike w:val="0"/>
          <w:color w:val="000000"/>
          <w:sz w:val="24"/>
          <w:szCs w:val="24"/>
          <w:lang w:val="en-US" w:eastAsia="zh-CN"/>
        </w:rPr>
        <w:t>8</w:t>
      </w:r>
      <w:r>
        <w:rPr>
          <w:rFonts w:ascii="宋体" w:hAnsi="宋体" w:eastAsia="宋体" w:cs="宋体"/>
          <w:b w:val="0"/>
          <w:i w:val="0"/>
          <w:strike w:val="0"/>
          <w:dstrike w:val="0"/>
          <w:color w:val="000000"/>
          <w:sz w:val="24"/>
          <w:szCs w:val="24"/>
        </w:rPr>
        <w:t>.3、</w:t>
      </w:r>
      <w:r>
        <w:rPr>
          <w:rFonts w:hint="eastAsia" w:ascii="宋体" w:hAnsi="宋体" w:cs="宋体"/>
          <w:b w:val="0"/>
          <w:i w:val="0"/>
          <w:strike w:val="0"/>
          <w:dstrike w:val="0"/>
          <w:color w:val="000000"/>
          <w:sz w:val="24"/>
          <w:szCs w:val="24"/>
          <w:lang w:val="en-US" w:eastAsia="zh-CN"/>
        </w:rPr>
        <w:t>8</w:t>
      </w:r>
      <w:r>
        <w:rPr>
          <w:rFonts w:ascii="宋体" w:hAnsi="宋体" w:eastAsia="宋体" w:cs="宋体"/>
          <w:b w:val="0"/>
          <w:i w:val="0"/>
          <w:strike w:val="0"/>
          <w:dstrike w:val="0"/>
          <w:color w:val="000000"/>
          <w:sz w:val="24"/>
          <w:szCs w:val="24"/>
        </w:rPr>
        <w:t>.4条要求承担赔偿责任，乙方也有权要求顺延项目运营期。</w:t>
      </w:r>
      <w:r>
        <w:rPr>
          <w:rFonts w:hint="eastAsia" w:ascii="宋体" w:hAnsi="宋体" w:cs="宋体"/>
          <w:b w:val="0"/>
          <w:i w:val="0"/>
          <w:strike w:val="0"/>
          <w:dstrike w:val="0"/>
          <w:color w:val="000000"/>
          <w:sz w:val="24"/>
          <w:szCs w:val="24"/>
          <w:lang w:val="en-US" w:eastAsia="zh-CN"/>
        </w:rPr>
        <w:t>如</w:t>
      </w:r>
      <w:r>
        <w:rPr>
          <w:rFonts w:hint="eastAsia" w:ascii="宋体" w:hAnsi="宋体" w:eastAsia="宋体" w:cs="宋体"/>
          <w:b w:val="0"/>
          <w:i w:val="0"/>
          <w:strike w:val="0"/>
          <w:dstrike w:val="0"/>
          <w:color w:val="000000"/>
          <w:sz w:val="24"/>
          <w:szCs w:val="24"/>
          <w:lang w:val="en-US" w:eastAsia="zh-CN"/>
        </w:rPr>
        <w:t>甲方未与乙方协商一致</w:t>
      </w:r>
      <w:r>
        <w:rPr>
          <w:rFonts w:hint="eastAsia" w:ascii="宋体" w:hAnsi="宋体" w:cs="宋体"/>
          <w:b w:val="0"/>
          <w:i w:val="0"/>
          <w:strike w:val="0"/>
          <w:dstrike w:val="0"/>
          <w:color w:val="000000"/>
          <w:sz w:val="24"/>
          <w:szCs w:val="24"/>
          <w:lang w:val="en-US" w:eastAsia="zh-CN"/>
        </w:rPr>
        <w:t>，</w:t>
      </w:r>
      <w:r>
        <w:rPr>
          <w:rFonts w:hint="eastAsia" w:ascii="宋体" w:hAnsi="宋体" w:eastAsia="宋体" w:cs="宋体"/>
          <w:b w:val="0"/>
          <w:i w:val="0"/>
          <w:strike w:val="0"/>
          <w:dstrike w:val="0"/>
          <w:color w:val="000000"/>
          <w:sz w:val="24"/>
          <w:szCs w:val="24"/>
          <w:lang w:val="en-US" w:eastAsia="zh-CN"/>
        </w:rPr>
        <w:t>主动关闸导致项目无法发电</w:t>
      </w:r>
      <w:r>
        <w:rPr>
          <w:rFonts w:hint="eastAsia" w:ascii="宋体" w:hAnsi="宋体" w:cs="宋体"/>
          <w:b w:val="0"/>
          <w:i w:val="0"/>
          <w:strike w:val="0"/>
          <w:dstrike w:val="0"/>
          <w:color w:val="000000"/>
          <w:sz w:val="24"/>
          <w:szCs w:val="24"/>
          <w:lang w:val="en-US" w:eastAsia="zh-CN"/>
        </w:rPr>
        <w:t>的，参照8.3、8.4条执行。</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6.9</w:t>
      </w:r>
      <w:r>
        <w:rPr>
          <w:rFonts w:ascii="宋体" w:hAnsi="宋体" w:eastAsia="宋体" w:cs="宋体"/>
          <w:b w:val="0"/>
          <w:i w:val="0"/>
          <w:strike w:val="0"/>
          <w:dstrike w:val="0"/>
          <w:color w:val="000000"/>
          <w:sz w:val="24"/>
          <w:szCs w:val="24"/>
        </w:rPr>
        <w:t>在项目运营期内，甲方应保证不设置或安装任何影响乙方电站接收日照辐射的遮光物。如因生产需要确需安装的，需双方协调达成一致后，方可安装。</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color w:val="000000"/>
          <w:sz w:val="24"/>
          <w:szCs w:val="24"/>
        </w:rPr>
      </w:pPr>
      <w:r>
        <w:rPr>
          <w:rFonts w:hint="eastAsia" w:ascii="宋体" w:hAnsi="宋体" w:cs="宋体"/>
          <w:b w:val="0"/>
          <w:i w:val="0"/>
          <w:strike w:val="0"/>
          <w:dstrike w:val="0"/>
          <w:color w:val="000000"/>
          <w:sz w:val="24"/>
          <w:szCs w:val="24"/>
          <w:lang w:val="en-US" w:eastAsia="zh-CN"/>
        </w:rPr>
        <w:t>6.10</w:t>
      </w:r>
      <w:r>
        <w:rPr>
          <w:rFonts w:ascii="宋体" w:hAnsi="宋体" w:eastAsia="宋体" w:cs="宋体"/>
          <w:b w:val="0"/>
          <w:i w:val="0"/>
          <w:strike w:val="0"/>
          <w:dstrike w:val="0"/>
          <w:color w:val="000000"/>
          <w:sz w:val="24"/>
          <w:szCs w:val="24"/>
        </w:rPr>
        <w:t>如甲方在项目运行期间报停变压器的，甲方应当与电网公司做好沟通，保障本项目正常运行，否则，应提前与乙方沟通并获得乙方同意后方可报停变压器。</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6.11</w:t>
      </w:r>
      <w:r>
        <w:rPr>
          <w:rFonts w:ascii="宋体" w:hAnsi="宋体" w:eastAsia="宋体" w:cs="宋体"/>
          <w:b w:val="0"/>
          <w:i w:val="0"/>
          <w:strike w:val="0"/>
          <w:dstrike w:val="0"/>
          <w:color w:val="000000"/>
          <w:sz w:val="24"/>
          <w:szCs w:val="24"/>
        </w:rPr>
        <w:t>乙方负责项目的投资、建设、运营、维护，按国家和项目所在地政府要求组织项目设计、采购、施工、监理，如需甲方配合，甲方应全力配合，双方共同推动本项目早日开工和顺利投入运营。</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6.12</w:t>
      </w:r>
      <w:r>
        <w:rPr>
          <w:rFonts w:ascii="宋体" w:hAnsi="宋体" w:eastAsia="宋体" w:cs="宋体"/>
          <w:b w:val="0"/>
          <w:i w:val="0"/>
          <w:strike w:val="0"/>
          <w:dstrike w:val="0"/>
          <w:color w:val="000000"/>
          <w:sz w:val="24"/>
          <w:szCs w:val="24"/>
        </w:rPr>
        <w:t>乙方应聘请有资质的设计单位对</w:t>
      </w:r>
      <w:r>
        <w:rPr>
          <w:rFonts w:hint="eastAsia" w:ascii="宋体" w:hAnsi="宋体" w:cs="宋体"/>
          <w:b w:val="0"/>
          <w:i w:val="0"/>
          <w:strike w:val="0"/>
          <w:dstrike w:val="0"/>
          <w:color w:val="000000"/>
          <w:sz w:val="24"/>
          <w:szCs w:val="24"/>
          <w:lang w:eastAsia="zh-CN"/>
        </w:rPr>
        <w:t>租赁标的物</w:t>
      </w:r>
      <w:r>
        <w:rPr>
          <w:rFonts w:ascii="宋体" w:hAnsi="宋体" w:eastAsia="宋体" w:cs="宋体"/>
          <w:b w:val="0"/>
          <w:i w:val="0"/>
          <w:strike w:val="0"/>
          <w:dstrike w:val="0"/>
          <w:color w:val="000000"/>
          <w:sz w:val="24"/>
          <w:szCs w:val="24"/>
        </w:rPr>
        <w:t>进行验算、技术评估设计，确保项目符合国家技术标准。</w:t>
      </w:r>
    </w:p>
    <w:p>
      <w:pPr>
        <w:rPr>
          <w:rFonts w:ascii="宋体" w:hAnsi="宋体" w:eastAsia="宋体" w:cs="宋体"/>
          <w:sz w:val="24"/>
          <w:szCs w:val="24"/>
        </w:rPr>
      </w:pPr>
      <w:r>
        <w:rPr>
          <w:rFonts w:ascii="宋体" w:hAnsi="宋体" w:eastAsia="宋体" w:cs="宋体"/>
          <w:b w:val="0"/>
          <w:i w:val="0"/>
          <w:strike w:val="0"/>
          <w:dstrike w:val="0"/>
          <w:color w:val="000000"/>
          <w:sz w:val="24"/>
          <w:szCs w:val="24"/>
        </w:rPr>
        <w:t>乙方负责光伏发电设备故障排查、维修，保障设备运行的稳定性。乙方安排专业人员进行光伏发电设备操作和日常维护，确保设备运行正常。</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color w:val="000000"/>
          <w:sz w:val="24"/>
          <w:szCs w:val="24"/>
        </w:rPr>
      </w:pPr>
      <w:r>
        <w:rPr>
          <w:rFonts w:hint="eastAsia" w:ascii="宋体" w:hAnsi="宋体" w:cs="宋体"/>
          <w:b w:val="0"/>
          <w:i w:val="0"/>
          <w:strike w:val="0"/>
          <w:dstrike w:val="0"/>
          <w:color w:val="000000"/>
          <w:sz w:val="24"/>
          <w:szCs w:val="24"/>
          <w:lang w:val="en-US" w:eastAsia="zh-CN"/>
        </w:rPr>
        <w:t>6.13</w:t>
      </w:r>
      <w:r>
        <w:rPr>
          <w:rFonts w:ascii="宋体" w:hAnsi="宋体" w:eastAsia="宋体" w:cs="宋体"/>
          <w:b w:val="0"/>
          <w:i w:val="0"/>
          <w:strike w:val="0"/>
          <w:dstrike w:val="0"/>
          <w:color w:val="000000"/>
          <w:sz w:val="24"/>
          <w:szCs w:val="24"/>
        </w:rPr>
        <w:t>乙方有义务保证不因项目建设或运维对甲方相关设备造成损坏（自然老化及不可抗力情形除外）。因乙方系统故障或操作不当造成甲方设备损坏的，应聘请权威第三方机构对损失进行鉴定，乙方负责赔偿甲方损失。</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6.14</w:t>
      </w:r>
      <w:r>
        <w:rPr>
          <w:rFonts w:ascii="宋体" w:hAnsi="宋体" w:eastAsia="宋体" w:cs="宋体"/>
          <w:b w:val="0"/>
          <w:i w:val="0"/>
          <w:strike w:val="0"/>
          <w:dstrike w:val="0"/>
          <w:color w:val="000000"/>
          <w:sz w:val="24"/>
          <w:szCs w:val="24"/>
        </w:rPr>
        <w:t>租赁标的物或其所在园区/厂区拟开发建设储能电站的，甲方同意乙方有权优先进行投资建设。</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sz w:val="24"/>
          <w:szCs w:val="24"/>
          <w:lang w:val="en-US" w:eastAsia="zh-CN"/>
        </w:rPr>
        <w:t>6.15</w:t>
      </w:r>
      <w:r>
        <w:rPr>
          <w:rFonts w:ascii="宋体" w:hAnsi="宋体" w:eastAsia="宋体" w:cs="宋体"/>
          <w:sz w:val="24"/>
          <w:szCs w:val="24"/>
        </w:rPr>
        <w:t>甲方有权根据实际需求决定是否启动二期工程，乙方应无条件配合并提供技术、资金及运营支持。</w:t>
      </w:r>
      <w:r>
        <w:commentReference w:id="6"/>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sz w:val="24"/>
          <w:szCs w:val="24"/>
          <w:lang w:val="en-US" w:eastAsia="zh-CN"/>
        </w:rPr>
        <w:t>6.16</w:t>
      </w:r>
      <w:r>
        <w:rPr>
          <w:rFonts w:hint="default" w:ascii="宋体" w:hAnsi="宋体" w:eastAsia="宋体" w:cs="宋体"/>
          <w:sz w:val="24"/>
          <w:szCs w:val="24"/>
        </w:rPr>
        <w:t>乙方在项目施工、运营期间应严格遵守安全生产规范，采取必要措施避免对甲方的建筑物、附属设施、物品或人员造成损害。若因乙方施工、运维行为导致甲方建筑物、物品损坏或人员伤亡</w:t>
      </w:r>
      <w:r>
        <w:rPr>
          <w:rFonts w:hint="eastAsia" w:ascii="宋体" w:hAnsi="宋体" w:eastAsia="宋体" w:cs="宋体"/>
          <w:sz w:val="24"/>
          <w:szCs w:val="24"/>
          <w:lang w:val="en-US" w:eastAsia="zh-CN"/>
        </w:rPr>
        <w:t>以及影响医院正常运行的</w:t>
      </w:r>
      <w:r>
        <w:rPr>
          <w:rFonts w:hint="default" w:ascii="宋体" w:hAnsi="宋体" w:eastAsia="宋体" w:cs="宋体"/>
          <w:sz w:val="24"/>
          <w:szCs w:val="24"/>
        </w:rPr>
        <w:t>，乙方应承担全部修复、赔偿责任，并承担因此产生的法律后果。</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sz w:val="24"/>
          <w:szCs w:val="24"/>
          <w:lang w:val="en-US" w:eastAsia="zh-CN"/>
        </w:rPr>
        <w:t>6.17</w:t>
      </w:r>
      <w:r>
        <w:rPr>
          <w:rFonts w:ascii="宋体" w:hAnsi="宋体" w:eastAsia="宋体" w:cs="宋体"/>
          <w:sz w:val="24"/>
          <w:szCs w:val="24"/>
        </w:rPr>
        <w:t>在施工及运营期间，因乙方或其雇佣的第三方人员操作不当、设备故障或其他乙方过错导致的安全事故（包括但不限于人员伤亡、财产损失等），由乙方自行承担全部责任；甲方对此不承担任何责任，且乙方应确保甲方免于因此类事故产生的任何索赔、诉讼或费用。</w:t>
      </w:r>
    </w:p>
    <w:p>
      <w:pPr>
        <w:widowControl/>
        <w:spacing w:beforeLines="50" w:afterLines="50" w:line="240" w:lineRule="auto"/>
        <w:ind w:leftChars="200" w:rightChars="0" w:firstLine="0" w:firstLineChars="0"/>
        <w:jc w:val="both"/>
        <w:rPr>
          <w:sz w:val="24"/>
          <w:szCs w:val="24"/>
        </w:rPr>
      </w:pPr>
      <w:r>
        <w:rPr>
          <w:rFonts w:ascii="宋体" w:hAnsi="宋体" w:eastAsia="宋体" w:cs="宋体"/>
          <w:b/>
          <w:i w:val="0"/>
          <w:strike w:val="0"/>
          <w:dstrike w:val="0"/>
          <w:color w:val="000000"/>
          <w:sz w:val="24"/>
          <w:szCs w:val="24"/>
        </w:rPr>
        <w:t>第</w:t>
      </w:r>
      <w:r>
        <w:rPr>
          <w:rFonts w:hint="eastAsia" w:ascii="宋体" w:hAnsi="宋体" w:cs="宋体"/>
          <w:b/>
          <w:i w:val="0"/>
          <w:strike w:val="0"/>
          <w:dstrike w:val="0"/>
          <w:color w:val="000000"/>
          <w:sz w:val="24"/>
          <w:szCs w:val="24"/>
          <w:lang w:val="en-US" w:eastAsia="zh-CN"/>
        </w:rPr>
        <w:t>七</w:t>
      </w:r>
      <w:r>
        <w:rPr>
          <w:rFonts w:ascii="宋体" w:hAnsi="宋体" w:eastAsia="宋体" w:cs="宋体"/>
          <w:b/>
          <w:i w:val="0"/>
          <w:strike w:val="0"/>
          <w:dstrike w:val="0"/>
          <w:color w:val="000000"/>
          <w:sz w:val="24"/>
          <w:szCs w:val="24"/>
        </w:rPr>
        <w:t>条：项目的更改</w:t>
      </w:r>
    </w:p>
    <w:p>
      <w:pPr>
        <w:spacing w:beforeLines="0" w:afterLines="0" w:line="240" w:lineRule="auto"/>
        <w:ind w:left="425" w:leftChars="0" w:rightChars="0" w:firstLine="0" w:firstLineChars="0"/>
        <w:jc w:val="both"/>
        <w:rPr>
          <w:sz w:val="24"/>
          <w:szCs w:val="24"/>
        </w:rPr>
      </w:pPr>
      <w:r>
        <w:rPr>
          <w:rFonts w:ascii="宋体" w:hAnsi="宋体" w:eastAsia="宋体" w:cs="宋体"/>
          <w:b w:val="0"/>
          <w:i w:val="0"/>
          <w:strike w:val="0"/>
          <w:dstrike w:val="0"/>
          <w:color w:val="000000"/>
          <w:sz w:val="24"/>
          <w:szCs w:val="24"/>
        </w:rPr>
        <w:t>合同期内，出现下列情形的按如下方式予以处理：</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7.1</w:t>
      </w:r>
      <w:r>
        <w:rPr>
          <w:rFonts w:ascii="宋体" w:hAnsi="宋体" w:eastAsia="宋体" w:cs="宋体"/>
          <w:b w:val="0"/>
          <w:i w:val="0"/>
          <w:strike w:val="0"/>
          <w:dstrike w:val="0"/>
          <w:color w:val="000000"/>
          <w:sz w:val="24"/>
          <w:szCs w:val="24"/>
        </w:rPr>
        <w:t>二期工程启动条件：甲方有权根据实际需求，在住院楼二期工程完工后书面通知乙方启动二期工程建设，乙方应在收到通知后30日内提交可行性方案并签订补充协议。</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sz w:val="24"/>
          <w:szCs w:val="24"/>
          <w:lang w:val="en-US" w:eastAsia="zh-CN"/>
        </w:rPr>
        <w:t>7.2</w:t>
      </w:r>
      <w:r>
        <w:rPr>
          <w:rFonts w:ascii="宋体" w:hAnsi="宋体" w:eastAsia="宋体" w:cs="宋体"/>
          <w:sz w:val="24"/>
          <w:szCs w:val="24"/>
        </w:rPr>
        <w:t>乙方承诺无条件配合二期工程实施，包括但不限于勘察设计、设备采购、施工及并网等。若乙方拒绝履行二期工程义务，需向甲方支付合同总金额20%的违约金，并赔偿因此导致的甲方损失。</w:t>
      </w:r>
      <w:r>
        <w:rPr>
          <w:rFonts w:hint="default" w:ascii="宋体" w:hAnsi="宋体" w:eastAsia="宋体" w:cs="宋体"/>
          <w:sz w:val="24"/>
          <w:szCs w:val="24"/>
        </w:rPr>
        <w:t>二期工程建设范围、装机容量、电价优惠等具体内容由甲乙双方另行协商，</w:t>
      </w:r>
      <w:r>
        <w:rPr>
          <w:rFonts w:hint="eastAsia" w:ascii="宋体" w:hAnsi="宋体" w:cs="宋体"/>
          <w:sz w:val="24"/>
          <w:szCs w:val="24"/>
          <w:lang w:val="en-US" w:eastAsia="zh-CN"/>
        </w:rPr>
        <w:t>电价不得高于一期电价，</w:t>
      </w:r>
      <w:r>
        <w:rPr>
          <w:rFonts w:hint="default" w:ascii="宋体" w:hAnsi="宋体" w:eastAsia="宋体" w:cs="宋体"/>
          <w:sz w:val="24"/>
          <w:szCs w:val="24"/>
        </w:rPr>
        <w:t>并作为本合同补充协议。</w:t>
      </w:r>
      <w:r>
        <w:commentReference w:id="7"/>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sz w:val="24"/>
          <w:szCs w:val="24"/>
          <w:lang w:val="en-US" w:eastAsia="zh-CN"/>
        </w:rPr>
        <w:t>7.3</w:t>
      </w:r>
      <w:r>
        <w:rPr>
          <w:rFonts w:ascii="宋体" w:hAnsi="宋体" w:eastAsia="宋体" w:cs="宋体"/>
          <w:sz w:val="24"/>
          <w:szCs w:val="24"/>
        </w:rPr>
        <w:t>储能设备加装条款</w:t>
      </w:r>
      <w:r>
        <w:rPr>
          <w:rFonts w:hint="eastAsia" w:ascii="宋体" w:hAnsi="宋体" w:cs="宋体"/>
          <w:sz w:val="24"/>
          <w:szCs w:val="24"/>
          <w:lang w:eastAsia="zh-CN"/>
        </w:rPr>
        <w:t>：</w:t>
      </w:r>
    </w:p>
    <w:p>
      <w:pPr>
        <w:numPr>
          <w:ilvl w:val="-1"/>
          <w:numId w:val="0"/>
        </w:numPr>
        <w:spacing w:beforeLines="0" w:afterLines="0" w:line="240" w:lineRule="auto"/>
        <w:ind w:rightChars="0" w:firstLine="480" w:firstLineChars="200"/>
        <w:jc w:val="both"/>
        <w:rPr>
          <w:rFonts w:hint="eastAsia" w:ascii="宋体" w:hAnsi="宋体" w:cs="宋体"/>
          <w:sz w:val="24"/>
          <w:szCs w:val="24"/>
          <w:lang w:val="en-US" w:eastAsia="zh-CN"/>
        </w:rPr>
      </w:pPr>
      <w:r>
        <w:rPr>
          <w:rFonts w:hint="eastAsia" w:ascii="宋体" w:hAnsi="宋体" w:cs="宋体"/>
          <w:sz w:val="24"/>
          <w:szCs w:val="24"/>
          <w:lang w:val="en-US" w:eastAsia="zh-CN"/>
        </w:rPr>
        <w:t>7.3.1在二期工程实施过程中，甲乙双方可根据实际需求协商确定是否加装储能设备（包括但不限于电池储能系统）。储能设备的规划、技术参数、投资主体、运维责任及收益分配等事项，需经双方书面协商一致后，通过补充协议明确约定。</w:t>
      </w:r>
      <w:r>
        <w:commentReference w:id="8"/>
      </w:r>
    </w:p>
    <w:p>
      <w:pPr>
        <w:numPr>
          <w:ilvl w:val="-1"/>
          <w:numId w:val="0"/>
        </w:numPr>
        <w:spacing w:beforeLines="0" w:afterLines="0" w:line="240" w:lineRule="auto"/>
        <w:ind w:rightChars="0" w:firstLine="480" w:firstLineChars="200"/>
        <w:jc w:val="both"/>
        <w:rPr>
          <w:rFonts w:hint="eastAsia" w:ascii="宋体" w:hAnsi="宋体" w:cs="宋体"/>
          <w:sz w:val="24"/>
          <w:szCs w:val="24"/>
          <w:lang w:val="en-US" w:eastAsia="zh-CN"/>
        </w:rPr>
      </w:pPr>
      <w:r>
        <w:rPr>
          <w:rFonts w:hint="eastAsia" w:ascii="宋体" w:hAnsi="宋体" w:cs="宋体"/>
          <w:sz w:val="24"/>
          <w:szCs w:val="24"/>
          <w:lang w:val="en-US" w:eastAsia="zh-CN"/>
        </w:rPr>
        <w:t>7.3.2若双方协商一致加装储能设备，则储能设备的权属、运营维护责任及由此产生的收益或风险，按补充协议约定执行。补充协议未明确约定的，参照本合同第三条（项目投资及权属）、第四条（效益分享）相关条款执行。</w:t>
      </w:r>
    </w:p>
    <w:p>
      <w:pPr>
        <w:numPr>
          <w:ilvl w:val="-1"/>
          <w:numId w:val="0"/>
        </w:numPr>
        <w:spacing w:beforeLines="0" w:afterLines="0" w:line="240" w:lineRule="auto"/>
        <w:ind w:rightChars="0" w:firstLine="480" w:firstLineChars="200"/>
        <w:jc w:val="both"/>
        <w:rPr>
          <w:rFonts w:hint="eastAsia" w:ascii="宋体" w:hAnsi="宋体" w:cs="宋体"/>
          <w:sz w:val="24"/>
          <w:szCs w:val="24"/>
          <w:lang w:val="en-US" w:eastAsia="zh-CN"/>
        </w:rPr>
      </w:pPr>
      <w:r>
        <w:rPr>
          <w:rFonts w:hint="eastAsia" w:ascii="宋体" w:hAnsi="宋体" w:cs="宋体"/>
          <w:sz w:val="24"/>
          <w:szCs w:val="24"/>
          <w:lang w:val="en-US" w:eastAsia="zh-CN"/>
        </w:rPr>
        <w:t>7.3.3储能设备的安装、调试及并网工作，由乙方负责主导实施，甲方应提供必要协助。</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7.4</w:t>
      </w:r>
      <w:r>
        <w:rPr>
          <w:rFonts w:ascii="宋体" w:hAnsi="宋体" w:eastAsia="宋体" w:cs="宋体"/>
          <w:b w:val="0"/>
          <w:i w:val="0"/>
          <w:strike w:val="0"/>
          <w:dstrike w:val="0"/>
          <w:color w:val="000000"/>
          <w:sz w:val="24"/>
          <w:szCs w:val="24"/>
        </w:rPr>
        <w:t>本项目建成后，</w:t>
      </w:r>
      <w:r>
        <w:rPr>
          <w:rFonts w:hint="eastAsia" w:ascii="宋体" w:hAnsi="宋体" w:cs="宋体"/>
          <w:color w:val="000000"/>
          <w:sz w:val="24"/>
          <w:szCs w:val="24"/>
        </w:rPr>
        <w:t>如因政府原因需对光伏电站所在屋顶建筑物进行拆迁，拆迁方案应经过甲乙双方共同认定，光伏电站拆迁工作的具体实施由乙方负责与政府有关部门进行沟通；所有与光伏电站相关的补贴、赔偿等权益归属乙方所有。甲方有义务及时告知乙方所有与拆迁相关的信息，并提供必要的协助，保障乙方能够及时行使权利</w:t>
      </w:r>
      <w:r>
        <w:rPr>
          <w:rFonts w:hint="eastAsia" w:ascii="宋体" w:hAnsi="宋体" w:cs="宋体"/>
          <w:color w:val="000000"/>
          <w:sz w:val="24"/>
          <w:szCs w:val="24"/>
          <w:lang w:eastAsia="zh-CN"/>
        </w:rPr>
        <w:t>。</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7.5</w:t>
      </w:r>
      <w:r>
        <w:rPr>
          <w:rFonts w:ascii="宋体" w:hAnsi="宋体" w:eastAsia="宋体" w:cs="宋体"/>
          <w:b w:val="0"/>
          <w:i w:val="0"/>
          <w:strike w:val="0"/>
          <w:dstrike w:val="0"/>
          <w:color w:val="000000"/>
          <w:sz w:val="24"/>
          <w:szCs w:val="24"/>
        </w:rPr>
        <w:t>本合同有效期内，</w:t>
      </w:r>
      <w:r>
        <w:rPr>
          <w:rFonts w:hint="eastAsia" w:ascii="宋体" w:hAnsi="宋体" w:cs="宋体"/>
          <w:color w:val="000000"/>
          <w:sz w:val="24"/>
          <w:szCs w:val="24"/>
        </w:rPr>
        <w:t>若甲方出售转让房屋或因第三方主张权利涉及建筑物屋顶所有权的转让，甲方应提前30天书面通知乙方并应确保房屋的受让方或第三方同时受让本协议，并同意承担本协议下甲方承担的所有义务，</w:t>
      </w:r>
      <w:r>
        <w:rPr>
          <w:rFonts w:ascii="宋体" w:hAnsi="宋体" w:eastAsia="宋体" w:cs="宋体"/>
          <w:b w:val="0"/>
          <w:i w:val="0"/>
          <w:strike w:val="0"/>
          <w:dstrike w:val="0"/>
          <w:color w:val="000000"/>
          <w:sz w:val="24"/>
          <w:szCs w:val="24"/>
        </w:rPr>
        <w:t>否则乙方有权解除合同并依照本合同</w:t>
      </w:r>
      <w:r>
        <w:rPr>
          <w:rFonts w:hint="eastAsia" w:ascii="宋体" w:hAnsi="宋体" w:cs="宋体"/>
          <w:b w:val="0"/>
          <w:i w:val="0"/>
          <w:strike w:val="0"/>
          <w:dstrike w:val="0"/>
          <w:color w:val="000000"/>
          <w:sz w:val="24"/>
          <w:szCs w:val="24"/>
          <w:lang w:val="en-US" w:eastAsia="zh-CN"/>
        </w:rPr>
        <w:t>8</w:t>
      </w:r>
      <w:r>
        <w:rPr>
          <w:rFonts w:ascii="宋体" w:hAnsi="宋体" w:eastAsia="宋体" w:cs="宋体"/>
          <w:b w:val="0"/>
          <w:i w:val="0"/>
          <w:strike w:val="0"/>
          <w:dstrike w:val="0"/>
          <w:color w:val="000000"/>
          <w:sz w:val="24"/>
          <w:szCs w:val="24"/>
        </w:rPr>
        <w:t>.3、</w:t>
      </w:r>
      <w:r>
        <w:rPr>
          <w:rFonts w:hint="eastAsia" w:ascii="宋体" w:hAnsi="宋体" w:cs="宋体"/>
          <w:b w:val="0"/>
          <w:i w:val="0"/>
          <w:strike w:val="0"/>
          <w:dstrike w:val="0"/>
          <w:color w:val="000000"/>
          <w:sz w:val="24"/>
          <w:szCs w:val="24"/>
          <w:lang w:val="en-US" w:eastAsia="zh-CN"/>
        </w:rPr>
        <w:t>8</w:t>
      </w:r>
      <w:r>
        <w:rPr>
          <w:rFonts w:ascii="宋体" w:hAnsi="宋体" w:eastAsia="宋体" w:cs="宋体"/>
          <w:b w:val="0"/>
          <w:i w:val="0"/>
          <w:strike w:val="0"/>
          <w:dstrike w:val="0"/>
          <w:color w:val="000000"/>
          <w:sz w:val="24"/>
          <w:szCs w:val="24"/>
        </w:rPr>
        <w:t>.</w:t>
      </w:r>
      <w:r>
        <w:rPr>
          <w:rFonts w:hint="eastAsia" w:ascii="宋体" w:hAnsi="宋体" w:cs="宋体"/>
          <w:b w:val="0"/>
          <w:i w:val="0"/>
          <w:strike w:val="0"/>
          <w:dstrike w:val="0"/>
          <w:color w:val="000000"/>
          <w:sz w:val="24"/>
          <w:szCs w:val="24"/>
          <w:lang w:val="en-US" w:eastAsia="zh-CN"/>
        </w:rPr>
        <w:t>5</w:t>
      </w:r>
      <w:r>
        <w:rPr>
          <w:rFonts w:ascii="宋体" w:hAnsi="宋体" w:eastAsia="宋体" w:cs="宋体"/>
          <w:b w:val="0"/>
          <w:i w:val="0"/>
          <w:strike w:val="0"/>
          <w:dstrike w:val="0"/>
          <w:color w:val="000000"/>
          <w:sz w:val="24"/>
          <w:szCs w:val="24"/>
        </w:rPr>
        <w:t>条执行。</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7.6</w:t>
      </w:r>
      <w:r>
        <w:rPr>
          <w:rFonts w:ascii="宋体" w:hAnsi="宋体" w:eastAsia="宋体" w:cs="宋体"/>
          <w:b w:val="0"/>
          <w:i w:val="0"/>
          <w:strike w:val="0"/>
          <w:dstrike w:val="0"/>
          <w:color w:val="000000"/>
          <w:sz w:val="24"/>
          <w:szCs w:val="24"/>
        </w:rPr>
        <w:t>在项目运营期间，在乙方没有降低服务标准的情况下，为了改善设备的运行情况，提高经济效益，乙方有权对电站项目进行改造。乙方应当预先将项目改造方案提交甲方备案，所有的改造费用由乙方承担。</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color w:val="auto"/>
          <w:sz w:val="24"/>
          <w:szCs w:val="24"/>
        </w:rPr>
      </w:pPr>
      <w:r>
        <w:rPr>
          <w:rFonts w:hint="eastAsia" w:ascii="宋体" w:hAnsi="宋体" w:cs="宋体"/>
          <w:b w:val="0"/>
          <w:i w:val="0"/>
          <w:strike w:val="0"/>
          <w:dstrike w:val="0"/>
          <w:color w:val="auto"/>
          <w:sz w:val="24"/>
          <w:szCs w:val="24"/>
          <w:lang w:val="en-US" w:eastAsia="zh-CN"/>
        </w:rPr>
        <w:t>7.7</w:t>
      </w:r>
      <w:r>
        <w:rPr>
          <w:rFonts w:ascii="宋体" w:hAnsi="宋体" w:eastAsia="宋体" w:cs="宋体"/>
          <w:b w:val="0"/>
          <w:i w:val="0"/>
          <w:strike w:val="0"/>
          <w:dstrike w:val="0"/>
          <w:color w:val="auto"/>
          <w:sz w:val="24"/>
          <w:szCs w:val="24"/>
        </w:rPr>
        <w:t>项目运营期内，当以下情形之一出现时，乙方有权选择单方解除本合同或将本项目所发电能转售第三方，甲方须配合乙方进行变更，因此发生的费用由甲方承担：</w:t>
      </w:r>
      <w:r>
        <w:rPr>
          <w:rFonts w:hint="eastAsia" w:ascii="宋体" w:hAnsi="宋体" w:cs="宋体"/>
          <w:b w:val="0"/>
          <w:i w:val="0"/>
          <w:strike w:val="0"/>
          <w:dstrike w:val="0"/>
          <w:color w:val="auto"/>
          <w:sz w:val="24"/>
          <w:szCs w:val="24"/>
          <w:lang w:val="en-US" w:eastAsia="zh-CN"/>
        </w:rPr>
        <w:t>a.</w:t>
      </w:r>
      <w:r>
        <w:rPr>
          <w:rFonts w:ascii="宋体" w:hAnsi="宋体" w:eastAsia="宋体" w:cs="宋体"/>
          <w:b w:val="0"/>
          <w:i w:val="0"/>
          <w:strike w:val="0"/>
          <w:dstrike w:val="0"/>
          <w:color w:val="auto"/>
          <w:sz w:val="24"/>
          <w:szCs w:val="24"/>
        </w:rPr>
        <w:t>甲方拖欠乙方应付电费的时间累计超过三（3）个月的</w:t>
      </w:r>
      <w:r>
        <w:rPr>
          <w:rFonts w:hint="eastAsia" w:ascii="宋体" w:hAnsi="宋体" w:cs="宋体"/>
          <w:b w:val="0"/>
          <w:i w:val="0"/>
          <w:strike w:val="0"/>
          <w:dstrike w:val="0"/>
          <w:color w:val="auto"/>
          <w:sz w:val="24"/>
          <w:szCs w:val="24"/>
          <w:lang w:eastAsia="zh-CN"/>
        </w:rPr>
        <w:t>。</w:t>
      </w:r>
      <w:r>
        <w:commentReference w:id="9"/>
      </w:r>
    </w:p>
    <w:p>
      <w:pPr>
        <w:widowControl/>
        <w:spacing w:beforeLines="50" w:afterLines="50" w:line="240" w:lineRule="auto"/>
        <w:ind w:leftChars="200" w:rightChars="0" w:firstLine="0" w:firstLineChars="0"/>
        <w:jc w:val="both"/>
        <w:rPr>
          <w:sz w:val="24"/>
          <w:szCs w:val="24"/>
        </w:rPr>
      </w:pPr>
      <w:r>
        <w:rPr>
          <w:rFonts w:ascii="宋体" w:hAnsi="宋体" w:eastAsia="宋体" w:cs="宋体"/>
          <w:b/>
          <w:i w:val="0"/>
          <w:strike w:val="0"/>
          <w:dstrike w:val="0"/>
          <w:color w:val="000000"/>
          <w:sz w:val="24"/>
          <w:szCs w:val="24"/>
        </w:rPr>
        <w:t>第</w:t>
      </w:r>
      <w:r>
        <w:rPr>
          <w:rFonts w:hint="eastAsia" w:ascii="宋体" w:hAnsi="宋体" w:cs="宋体"/>
          <w:b/>
          <w:i w:val="0"/>
          <w:strike w:val="0"/>
          <w:dstrike w:val="0"/>
          <w:color w:val="000000"/>
          <w:sz w:val="24"/>
          <w:szCs w:val="24"/>
          <w:lang w:val="en-US" w:eastAsia="zh-CN"/>
        </w:rPr>
        <w:t>八</w:t>
      </w:r>
      <w:r>
        <w:rPr>
          <w:rFonts w:ascii="宋体" w:hAnsi="宋体" w:eastAsia="宋体" w:cs="宋体"/>
          <w:b/>
          <w:i w:val="0"/>
          <w:strike w:val="0"/>
          <w:dstrike w:val="0"/>
          <w:color w:val="000000"/>
          <w:sz w:val="24"/>
          <w:szCs w:val="24"/>
        </w:rPr>
        <w:t>条：违约责任</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8.1</w:t>
      </w:r>
      <w:r>
        <w:rPr>
          <w:rFonts w:ascii="宋体" w:hAnsi="宋体" w:eastAsia="宋体" w:cs="宋体"/>
          <w:b w:val="0"/>
          <w:i w:val="0"/>
          <w:strike w:val="0"/>
          <w:dstrike w:val="0"/>
          <w:color w:val="000000"/>
          <w:sz w:val="24"/>
          <w:szCs w:val="24"/>
        </w:rPr>
        <w:t>除另有约定外，如一方违反本合同约定的义务，造成对方损失的，应赔偿对方损失。一方违约后，另一方应采取适当措施，防止损失的扩大，否则不能就扩大部分的损失要求赔偿。</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8.2</w:t>
      </w:r>
      <w:r>
        <w:rPr>
          <w:rFonts w:ascii="宋体" w:hAnsi="宋体" w:eastAsia="宋体" w:cs="宋体"/>
          <w:b w:val="0"/>
          <w:i w:val="0"/>
          <w:strike w:val="0"/>
          <w:dstrike w:val="0"/>
          <w:color w:val="000000"/>
          <w:sz w:val="24"/>
          <w:szCs w:val="24"/>
        </w:rPr>
        <w:t>如甲方未按照本合同的规定按时向乙方支付电费，则应当按照每日[0.05%]的利率就欠付款项向乙方支付滞纳金，直到甲方全额支付电费及相关违约金为止。</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8.3</w:t>
      </w:r>
      <w:r>
        <w:rPr>
          <w:rFonts w:ascii="宋体" w:hAnsi="宋体" w:eastAsia="宋体" w:cs="宋体"/>
          <w:b w:val="0"/>
          <w:i w:val="0"/>
          <w:strike w:val="0"/>
          <w:dstrike w:val="0"/>
          <w:color w:val="000000"/>
          <w:sz w:val="24"/>
          <w:szCs w:val="24"/>
        </w:rPr>
        <w:t>甲方无正当原因单方提出解除本合同</w:t>
      </w:r>
      <w:r>
        <w:rPr>
          <w:rFonts w:hint="eastAsia" w:ascii="宋体" w:hAnsi="宋体" w:cs="宋体"/>
          <w:b w:val="0"/>
          <w:i w:val="0"/>
          <w:strike w:val="0"/>
          <w:dstrike w:val="0"/>
          <w:color w:val="000000"/>
          <w:sz w:val="24"/>
          <w:szCs w:val="24"/>
          <w:lang w:val="en-US" w:eastAsia="zh-CN"/>
        </w:rPr>
        <w:t>或导致合同无法继续履行</w:t>
      </w:r>
      <w:r>
        <w:rPr>
          <w:rFonts w:ascii="宋体" w:hAnsi="宋体" w:eastAsia="宋体" w:cs="宋体"/>
          <w:b w:val="0"/>
          <w:i w:val="0"/>
          <w:strike w:val="0"/>
          <w:dstrike w:val="0"/>
          <w:color w:val="000000"/>
          <w:sz w:val="24"/>
          <w:szCs w:val="24"/>
        </w:rPr>
        <w:t>，或违反本合同约定造成电站设备停止发电或发电量降低等损失的，乙方要求甲方承担赔偿责任，包括但不限于设备毁损、拆除及重新安装费损失、运费损失、电站发电收益损失等相关损失。</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hint="eastAsia" w:ascii="宋体" w:hAnsi="宋体" w:cs="宋体"/>
          <w:sz w:val="24"/>
          <w:szCs w:val="24"/>
          <w:lang w:val="en-US" w:eastAsia="zh-CN"/>
        </w:rPr>
      </w:pPr>
      <w:r>
        <w:rPr>
          <w:rFonts w:hint="eastAsia" w:ascii="宋体" w:hAnsi="宋体" w:cs="宋体"/>
          <w:sz w:val="24"/>
          <w:szCs w:val="24"/>
          <w:lang w:val="en-US" w:eastAsia="zh-CN"/>
        </w:rPr>
        <w:t>8.4若乙方未按招标文件要求履行二期工程义务（包括但不限于：拒绝启动二期建设、未按期提交可行性方案、未按约定签署补充协议、拖延施工进度等），乙方须承担以下违约责任：</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hint="eastAsia" w:ascii="宋体" w:hAnsi="宋体" w:cs="宋体"/>
          <w:sz w:val="24"/>
          <w:szCs w:val="24"/>
          <w:lang w:val="en-US" w:eastAsia="zh-CN"/>
        </w:rPr>
      </w:pPr>
      <w:r>
        <w:rPr>
          <w:rFonts w:hint="eastAsia" w:ascii="宋体" w:hAnsi="宋体" w:cs="宋体"/>
          <w:sz w:val="24"/>
          <w:szCs w:val="24"/>
          <w:lang w:val="en-US" w:eastAsia="zh-CN"/>
        </w:rPr>
        <w:t>8.4.1违约金支付：</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hint="eastAsia" w:ascii="宋体" w:hAnsi="宋体" w:cs="宋体"/>
          <w:sz w:val="24"/>
          <w:szCs w:val="24"/>
          <w:lang w:val="en-US" w:eastAsia="zh-CN"/>
        </w:rPr>
      </w:pPr>
      <w:r>
        <w:rPr>
          <w:rFonts w:hint="eastAsia" w:ascii="宋体" w:hAnsi="宋体" w:cs="宋体"/>
          <w:sz w:val="24"/>
          <w:szCs w:val="24"/>
          <w:lang w:val="en-US" w:eastAsia="zh-CN"/>
        </w:rPr>
        <w:t>8.4.1.1乙方应向甲方支付一期项目总投资额【】% 的固定违约金（或约定为：人民币【】万元）；</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hint="eastAsia" w:ascii="宋体" w:hAnsi="宋体" w:cs="宋体"/>
          <w:sz w:val="24"/>
          <w:szCs w:val="24"/>
          <w:lang w:val="en-US" w:eastAsia="zh-CN"/>
        </w:rPr>
      </w:pPr>
      <w:r>
        <w:rPr>
          <w:rFonts w:hint="eastAsia" w:ascii="宋体" w:hAnsi="宋体" w:cs="宋体"/>
          <w:sz w:val="24"/>
          <w:szCs w:val="24"/>
          <w:lang w:val="en-US" w:eastAsia="zh-CN"/>
        </w:rPr>
        <w:t>8.4.1.2或按二期工程预估投资额的 【】%/日 计算逾期违约金（自甲方书面通知启动二期工程之日起30日算，至乙方实际履行义务之日止）。</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hint="eastAsia" w:ascii="宋体" w:hAnsi="宋体" w:cs="宋体"/>
          <w:sz w:val="24"/>
          <w:szCs w:val="24"/>
          <w:lang w:val="en-US" w:eastAsia="zh-CN"/>
        </w:rPr>
      </w:pPr>
      <w:r>
        <w:rPr>
          <w:rFonts w:hint="eastAsia" w:ascii="宋体" w:hAnsi="宋体" w:cs="宋体"/>
          <w:sz w:val="24"/>
          <w:szCs w:val="24"/>
          <w:lang w:val="en-US" w:eastAsia="zh-CN"/>
        </w:rPr>
        <w:t>8.4.2甲方救济权：</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hint="eastAsia" w:ascii="宋体" w:hAnsi="宋体" w:cs="宋体"/>
          <w:sz w:val="24"/>
          <w:szCs w:val="24"/>
          <w:lang w:val="en-US" w:eastAsia="zh-CN"/>
        </w:rPr>
      </w:pPr>
      <w:r>
        <w:rPr>
          <w:rFonts w:hint="eastAsia" w:ascii="宋体" w:hAnsi="宋体" w:cs="宋体"/>
          <w:sz w:val="24"/>
          <w:szCs w:val="24"/>
          <w:lang w:val="en-US" w:eastAsia="zh-CN"/>
        </w:rPr>
        <w:t>8.4.2.</w:t>
      </w:r>
      <w:r>
        <w:rPr>
          <w:rFonts w:hint="eastAsia" w:ascii="宋体" w:hAnsi="宋体" w:cs="宋体"/>
          <w:sz w:val="24"/>
          <w:szCs w:val="24"/>
          <w:lang w:val="en-US" w:eastAsia="zh-CN"/>
        </w:rPr>
        <w:t>1甲方有权直接从乙方电费收益中抵扣上述违约金；</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hint="eastAsia" w:ascii="宋体" w:hAnsi="宋体" w:cs="宋体"/>
          <w:sz w:val="24"/>
          <w:szCs w:val="24"/>
          <w:lang w:val="en-US" w:eastAsia="zh-CN"/>
        </w:rPr>
      </w:pPr>
      <w:r>
        <w:rPr>
          <w:rFonts w:hint="eastAsia" w:ascii="宋体" w:hAnsi="宋体" w:cs="宋体"/>
          <w:sz w:val="24"/>
          <w:szCs w:val="24"/>
          <w:lang w:val="en-US" w:eastAsia="zh-CN"/>
        </w:rPr>
        <w:t>8.4.2.</w:t>
      </w:r>
      <w:r>
        <w:rPr>
          <w:rFonts w:hint="eastAsia" w:ascii="宋体" w:hAnsi="宋体" w:cs="宋体"/>
          <w:sz w:val="24"/>
          <w:szCs w:val="24"/>
          <w:lang w:val="en-US" w:eastAsia="zh-CN"/>
        </w:rPr>
        <w:t>2若违约金不足以弥补甲方损失（包括但不限于重新招标费用、工期延误导致的电费损失等），甲方有权终止合同并要求乙方赔偿全部实际损失。</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8.5</w:t>
      </w:r>
      <w:r>
        <w:rPr>
          <w:rFonts w:ascii="宋体" w:hAnsi="宋体" w:eastAsia="宋体" w:cs="宋体"/>
          <w:b w:val="0"/>
          <w:i w:val="0"/>
          <w:strike w:val="0"/>
          <w:dstrike w:val="0"/>
          <w:color w:val="000000"/>
          <w:sz w:val="24"/>
          <w:szCs w:val="24"/>
        </w:rPr>
        <w:t>发电收益损失按照电站停运前12个月（累计发电月数少于12个月的，按照实际发电月数计算）的平均发电量X本合同约定的节能单价X停运月数（或剩余运营期，不足一月按一月计算）计算。</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8.6</w:t>
      </w:r>
      <w:r>
        <w:rPr>
          <w:rFonts w:ascii="宋体" w:hAnsi="宋体" w:eastAsia="宋体" w:cs="宋体"/>
          <w:b w:val="0"/>
          <w:i w:val="0"/>
          <w:strike w:val="0"/>
          <w:dstrike w:val="0"/>
          <w:color w:val="000000"/>
          <w:sz w:val="24"/>
          <w:szCs w:val="24"/>
        </w:rPr>
        <w:t>因不可抗力导致违约的，违约方无需承担违约责任，但不可抗力发生于一方延迟履行合同期间的，延迟履行一方不得免责。</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sz w:val="24"/>
          <w:szCs w:val="24"/>
          <w:lang w:val="en-US" w:eastAsia="zh-CN"/>
        </w:rPr>
        <w:t>8.7</w:t>
      </w:r>
      <w:r>
        <w:rPr>
          <w:rFonts w:ascii="宋体" w:hAnsi="宋体" w:eastAsia="宋体" w:cs="宋体"/>
          <w:sz w:val="24"/>
          <w:szCs w:val="24"/>
        </w:rPr>
        <w:t>若乙方违反第六条1</w:t>
      </w:r>
      <w:r>
        <w:rPr>
          <w:rFonts w:hint="eastAsia" w:ascii="宋体" w:hAnsi="宋体" w:cs="宋体"/>
          <w:sz w:val="24"/>
          <w:szCs w:val="24"/>
          <w:lang w:val="en-US" w:eastAsia="zh-CN"/>
        </w:rPr>
        <w:t>8</w:t>
      </w:r>
      <w:r>
        <w:rPr>
          <w:rFonts w:ascii="宋体" w:hAnsi="宋体" w:eastAsia="宋体" w:cs="宋体"/>
          <w:sz w:val="24"/>
          <w:szCs w:val="24"/>
        </w:rPr>
        <w:t>款约定，未及时修复或赔偿甲方建筑物、物品损失，或未妥善处理人员伤亡事故的，每延迟一日，乙方应按实际损失金额的0.1%向甲方支付违约金；逾期超过30日的，甲方有权从乙方电费收益中直接扣除赔偿金及违约金，或解除合同并要求乙方承担全部损失。</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sz w:val="24"/>
          <w:szCs w:val="24"/>
          <w:lang w:val="en-US" w:eastAsia="zh-CN"/>
        </w:rPr>
        <w:t>8.8</w:t>
      </w:r>
      <w:r>
        <w:rPr>
          <w:rFonts w:ascii="宋体" w:hAnsi="宋体" w:eastAsia="宋体" w:cs="宋体"/>
          <w:sz w:val="24"/>
          <w:szCs w:val="24"/>
        </w:rPr>
        <w:t>若因乙方或第三方原因导致的事故引发对甲方的索赔，乙方应负责处理并全额承担相关费用。若甲方因此类事故被第三方追责，乙方应赔偿甲方因此遭受的全部损失（包括但不限于诉讼费、律师费、赔偿金等）。</w:t>
      </w:r>
    </w:p>
    <w:p>
      <w:pPr>
        <w:widowControl/>
        <w:spacing w:beforeLines="50" w:afterLines="50" w:line="240" w:lineRule="auto"/>
        <w:ind w:leftChars="200" w:rightChars="0" w:firstLine="0" w:firstLineChars="0"/>
        <w:jc w:val="both"/>
        <w:rPr>
          <w:sz w:val="24"/>
          <w:szCs w:val="24"/>
        </w:rPr>
      </w:pPr>
      <w:r>
        <w:rPr>
          <w:rFonts w:ascii="宋体" w:hAnsi="宋体" w:eastAsia="宋体" w:cs="宋体"/>
          <w:b/>
          <w:i w:val="0"/>
          <w:strike w:val="0"/>
          <w:dstrike w:val="0"/>
          <w:color w:val="000000"/>
          <w:sz w:val="24"/>
          <w:szCs w:val="24"/>
        </w:rPr>
        <w:t>第</w:t>
      </w:r>
      <w:r>
        <w:rPr>
          <w:rFonts w:hint="eastAsia" w:ascii="宋体" w:hAnsi="宋体" w:cs="宋体"/>
          <w:b/>
          <w:i w:val="0"/>
          <w:strike w:val="0"/>
          <w:dstrike w:val="0"/>
          <w:color w:val="000000"/>
          <w:sz w:val="24"/>
          <w:szCs w:val="24"/>
          <w:lang w:val="en-US" w:eastAsia="zh-CN"/>
        </w:rPr>
        <w:t>九</w:t>
      </w:r>
      <w:r>
        <w:rPr>
          <w:rFonts w:ascii="宋体" w:hAnsi="宋体" w:eastAsia="宋体" w:cs="宋体"/>
          <w:b/>
          <w:i w:val="0"/>
          <w:strike w:val="0"/>
          <w:dstrike w:val="0"/>
          <w:color w:val="000000"/>
          <w:sz w:val="24"/>
          <w:szCs w:val="24"/>
        </w:rPr>
        <w:t>条：合同的变更、解除和终止</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9.1</w:t>
      </w:r>
      <w:r>
        <w:rPr>
          <w:rFonts w:ascii="宋体" w:hAnsi="宋体" w:eastAsia="宋体" w:cs="宋体"/>
          <w:b w:val="0"/>
          <w:i w:val="0"/>
          <w:strike w:val="0"/>
          <w:dstrike w:val="0"/>
          <w:color w:val="000000"/>
          <w:sz w:val="24"/>
          <w:szCs w:val="24"/>
        </w:rPr>
        <w:t>合同经甲乙双方协商一致后可以解除。</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9.2</w:t>
      </w:r>
      <w:r>
        <w:rPr>
          <w:rFonts w:ascii="宋体" w:hAnsi="宋体" w:eastAsia="宋体" w:cs="宋体"/>
          <w:b w:val="0"/>
          <w:i w:val="0"/>
          <w:strike w:val="0"/>
          <w:dstrike w:val="0"/>
          <w:color w:val="000000"/>
          <w:sz w:val="24"/>
          <w:szCs w:val="24"/>
        </w:rPr>
        <w:t>对本合同的修改，必须经甲乙双方协商一致，签署书面协议才能生效。本合同如有未尽事宜，</w:t>
      </w:r>
      <w:r>
        <w:rPr>
          <w:rFonts w:hint="eastAsia" w:ascii="宋体" w:hAnsi="宋体" w:cs="宋体"/>
          <w:b w:val="0"/>
          <w:i w:val="0"/>
          <w:strike w:val="0"/>
          <w:dstrike w:val="0"/>
          <w:color w:val="000000"/>
          <w:sz w:val="24"/>
          <w:szCs w:val="24"/>
          <w:lang w:val="en-US" w:eastAsia="zh-CN"/>
        </w:rPr>
        <w:t>双方签署补充协议另行约定</w:t>
      </w:r>
      <w:r>
        <w:rPr>
          <w:rFonts w:ascii="宋体" w:hAnsi="宋体" w:eastAsia="宋体" w:cs="宋体"/>
          <w:b w:val="0"/>
          <w:i w:val="0"/>
          <w:strike w:val="0"/>
          <w:dstrike w:val="0"/>
          <w:color w:val="000000"/>
          <w:sz w:val="24"/>
          <w:szCs w:val="24"/>
        </w:rPr>
        <w:t>。</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9.3</w:t>
      </w:r>
      <w:r>
        <w:rPr>
          <w:rFonts w:ascii="宋体" w:hAnsi="宋体" w:eastAsia="宋体" w:cs="宋体"/>
          <w:b w:val="0"/>
          <w:i w:val="0"/>
          <w:strike w:val="0"/>
          <w:dstrike w:val="0"/>
          <w:color w:val="000000"/>
          <w:sz w:val="24"/>
          <w:szCs w:val="24"/>
        </w:rPr>
        <w:t>发生以下情形的，乙方有权</w:t>
      </w:r>
      <w:r>
        <w:rPr>
          <w:rFonts w:hint="eastAsia" w:ascii="宋体" w:hAnsi="宋体" w:cs="宋体"/>
          <w:b w:val="0"/>
          <w:i w:val="0"/>
          <w:strike w:val="0"/>
          <w:dstrike w:val="0"/>
          <w:color w:val="000000"/>
          <w:sz w:val="24"/>
          <w:szCs w:val="24"/>
          <w:lang w:val="en-US" w:eastAsia="zh-CN"/>
        </w:rPr>
        <w:t>无责</w:t>
      </w:r>
      <w:r>
        <w:rPr>
          <w:rFonts w:ascii="宋体" w:hAnsi="宋体" w:eastAsia="宋体" w:cs="宋体"/>
          <w:b w:val="0"/>
          <w:i w:val="0"/>
          <w:strike w:val="0"/>
          <w:dstrike w:val="0"/>
          <w:color w:val="000000"/>
          <w:sz w:val="24"/>
          <w:szCs w:val="24"/>
        </w:rPr>
        <w:t>解除合同：</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9.3.1</w:t>
      </w:r>
      <w:r>
        <w:rPr>
          <w:rFonts w:ascii="宋体" w:hAnsi="宋体" w:eastAsia="宋体" w:cs="宋体"/>
          <w:b w:val="0"/>
          <w:i w:val="0"/>
          <w:strike w:val="0"/>
          <w:dstrike w:val="0"/>
          <w:color w:val="000000"/>
          <w:sz w:val="24"/>
          <w:szCs w:val="24"/>
        </w:rPr>
        <w:t>在项目实际进场施工前，若乙方认为项目合法合规性存在瑕疵或出现颠覆性风险不能满足乙方光伏发电项目投资条件的；</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9.3.2</w:t>
      </w:r>
      <w:r>
        <w:rPr>
          <w:rFonts w:ascii="宋体" w:hAnsi="宋体" w:eastAsia="宋体" w:cs="宋体"/>
          <w:b w:val="0"/>
          <w:i w:val="0"/>
          <w:strike w:val="0"/>
          <w:dstrike w:val="0"/>
          <w:color w:val="000000"/>
          <w:sz w:val="24"/>
          <w:szCs w:val="24"/>
        </w:rPr>
        <w:t>实施本项目所必须的国家电网接入手续无法</w:t>
      </w:r>
      <w:r>
        <w:rPr>
          <w:rFonts w:hint="eastAsia" w:ascii="宋体" w:hAnsi="宋体" w:cs="宋体"/>
          <w:b w:val="0"/>
          <w:i w:val="0"/>
          <w:strike w:val="0"/>
          <w:dstrike w:val="0"/>
          <w:color w:val="000000"/>
          <w:sz w:val="24"/>
          <w:szCs w:val="24"/>
          <w:lang w:val="en-US" w:eastAsia="zh-CN"/>
        </w:rPr>
        <w:t>获得</w:t>
      </w:r>
      <w:r>
        <w:rPr>
          <w:rFonts w:ascii="宋体" w:hAnsi="宋体" w:eastAsia="宋体" w:cs="宋体"/>
          <w:b w:val="0"/>
          <w:i w:val="0"/>
          <w:strike w:val="0"/>
          <w:dstrike w:val="0"/>
          <w:color w:val="000000"/>
          <w:sz w:val="24"/>
          <w:szCs w:val="24"/>
        </w:rPr>
        <w:t>批复的；</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hint="eastAsia" w:ascii="宋体" w:hAnsi="宋体" w:cs="宋体"/>
          <w:b w:val="0"/>
          <w:i w:val="0"/>
          <w:strike w:val="0"/>
          <w:dstrike w:val="0"/>
          <w:color w:val="000000"/>
          <w:sz w:val="24"/>
          <w:szCs w:val="24"/>
          <w:lang w:eastAsia="zh-CN"/>
        </w:rPr>
      </w:pPr>
      <w:r>
        <w:rPr>
          <w:rFonts w:hint="eastAsia" w:ascii="宋体" w:hAnsi="宋体" w:cs="宋体"/>
          <w:b w:val="0"/>
          <w:i w:val="0"/>
          <w:strike w:val="0"/>
          <w:dstrike w:val="0"/>
          <w:color w:val="000000"/>
          <w:sz w:val="24"/>
          <w:szCs w:val="24"/>
          <w:lang w:val="en-US" w:eastAsia="zh-CN"/>
        </w:rPr>
        <w:t>9.3.3</w:t>
      </w:r>
      <w:r>
        <w:rPr>
          <w:rFonts w:ascii="宋体" w:hAnsi="宋体" w:eastAsia="宋体" w:cs="宋体"/>
          <w:b w:val="0"/>
          <w:i w:val="0"/>
          <w:strike w:val="0"/>
          <w:dstrike w:val="0"/>
          <w:color w:val="000000"/>
          <w:sz w:val="24"/>
          <w:szCs w:val="24"/>
        </w:rPr>
        <w:t>因甲方提供图纸不真实、所有权证明资料不齐全、隐瞒真实情况、电量无法消纳、场区无法正常使用等</w:t>
      </w:r>
      <w:r>
        <w:rPr>
          <w:rFonts w:hint="eastAsia" w:ascii="宋体" w:hAnsi="宋体" w:cs="宋体"/>
          <w:b w:val="0"/>
          <w:i w:val="0"/>
          <w:strike w:val="0"/>
          <w:dstrike w:val="0"/>
          <w:color w:val="000000"/>
          <w:sz w:val="24"/>
          <w:szCs w:val="24"/>
          <w:lang w:eastAsia="zh-CN"/>
        </w:rPr>
        <w:t>。</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sz w:val="24"/>
          <w:szCs w:val="24"/>
          <w:lang w:val="en-US" w:eastAsia="zh-CN"/>
        </w:rPr>
        <w:t>9.4.乙方逾期超过 【】日 仍未履行二期义务的，甲方可单方解除合同，乙方须承担本合同第8.3条（设备损毁、拆除重装费、发电收益损失等）约定的赔偿责任。</w:t>
      </w:r>
      <w:r>
        <w:commentReference w:id="10"/>
      </w:r>
      <w:r>
        <w:commentReference w:id="11"/>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sz w:val="24"/>
          <w:szCs w:val="24"/>
          <w:lang w:val="en-US" w:eastAsia="zh-CN"/>
        </w:rPr>
        <w:t>9.5</w:t>
      </w:r>
      <w:r>
        <w:rPr>
          <w:rFonts w:hint="eastAsia" w:ascii="宋体" w:hAnsi="宋体" w:eastAsia="宋体" w:cs="宋体"/>
          <w:sz w:val="24"/>
          <w:szCs w:val="24"/>
        </w:rPr>
        <w:t>如遇国家产业政策调整，包括但不限于发电、供电政策变化，致使乙方光伏电站项目终止的，乙方应及时书面通知甲方，通知到达之日合同解除, 双方互不承担责任。</w:t>
      </w:r>
      <w:r>
        <w:commentReference w:id="12"/>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9.6</w:t>
      </w:r>
      <w:r>
        <w:rPr>
          <w:rFonts w:ascii="宋体" w:hAnsi="宋体" w:eastAsia="宋体" w:cs="宋体"/>
          <w:b w:val="0"/>
          <w:i w:val="0"/>
          <w:strike w:val="0"/>
          <w:dstrike w:val="0"/>
          <w:color w:val="000000"/>
          <w:sz w:val="24"/>
          <w:szCs w:val="24"/>
        </w:rPr>
        <w:t>发生以下情形的，</w:t>
      </w:r>
      <w:r>
        <w:rPr>
          <w:rFonts w:hint="eastAsia" w:ascii="宋体" w:hAnsi="宋体" w:eastAsia="宋体" w:cs="宋体"/>
          <w:b w:val="0"/>
          <w:i w:val="0"/>
          <w:strike w:val="0"/>
          <w:dstrike w:val="0"/>
          <w:color w:val="000000"/>
          <w:sz w:val="24"/>
          <w:szCs w:val="24"/>
        </w:rPr>
        <w:t>甲乙双方应首先</w:t>
      </w:r>
      <w:r>
        <w:rPr>
          <w:rFonts w:hint="eastAsia" w:ascii="宋体" w:hAnsi="宋体" w:cs="宋体"/>
          <w:b w:val="0"/>
          <w:i w:val="0"/>
          <w:strike w:val="0"/>
          <w:dstrike w:val="0"/>
          <w:color w:val="000000"/>
          <w:sz w:val="24"/>
          <w:szCs w:val="24"/>
          <w:lang w:val="en-US" w:eastAsia="zh-CN"/>
        </w:rPr>
        <w:t>按合同目的</w:t>
      </w:r>
      <w:r>
        <w:rPr>
          <w:rFonts w:hint="eastAsia" w:ascii="宋体" w:hAnsi="宋体" w:eastAsia="宋体" w:cs="宋体"/>
          <w:b w:val="0"/>
          <w:i w:val="0"/>
          <w:strike w:val="0"/>
          <w:dstrike w:val="0"/>
          <w:color w:val="000000"/>
          <w:sz w:val="24"/>
          <w:szCs w:val="24"/>
        </w:rPr>
        <w:t>友好协商解决</w:t>
      </w:r>
      <w:r>
        <w:rPr>
          <w:rFonts w:hint="eastAsia" w:ascii="宋体" w:hAnsi="宋体" w:cs="宋体"/>
          <w:b w:val="0"/>
          <w:i w:val="0"/>
          <w:strike w:val="0"/>
          <w:dstrike w:val="0"/>
          <w:color w:val="000000"/>
          <w:sz w:val="24"/>
          <w:szCs w:val="24"/>
          <w:lang w:eastAsia="zh-CN"/>
        </w:rPr>
        <w:t>，</w:t>
      </w:r>
      <w:r>
        <w:rPr>
          <w:rFonts w:hint="eastAsia" w:ascii="宋体" w:hAnsi="宋体" w:eastAsia="宋体" w:cs="宋体"/>
          <w:b w:val="0"/>
          <w:i w:val="0"/>
          <w:strike w:val="0"/>
          <w:dstrike w:val="0"/>
          <w:color w:val="000000"/>
          <w:sz w:val="24"/>
          <w:szCs w:val="24"/>
        </w:rPr>
        <w:t>经甲乙双方协商后确实无法解决的，则</w:t>
      </w:r>
      <w:r>
        <w:rPr>
          <w:rFonts w:hint="eastAsia" w:ascii="宋体" w:hAnsi="宋体" w:cs="宋体"/>
          <w:b w:val="0"/>
          <w:i w:val="0"/>
          <w:strike w:val="0"/>
          <w:dstrike w:val="0"/>
          <w:color w:val="000000"/>
          <w:sz w:val="24"/>
          <w:szCs w:val="24"/>
          <w:lang w:val="en-US" w:eastAsia="zh-CN"/>
        </w:rPr>
        <w:t>乙</w:t>
      </w:r>
      <w:r>
        <w:rPr>
          <w:rFonts w:hint="eastAsia" w:ascii="宋体" w:hAnsi="宋体" w:eastAsia="宋体" w:cs="宋体"/>
          <w:b w:val="0"/>
          <w:i w:val="0"/>
          <w:strike w:val="0"/>
          <w:dstrike w:val="0"/>
          <w:color w:val="000000"/>
          <w:sz w:val="24"/>
          <w:szCs w:val="24"/>
        </w:rPr>
        <w:t>方</w:t>
      </w:r>
      <w:r>
        <w:rPr>
          <w:rFonts w:hint="eastAsia" w:ascii="宋体" w:hAnsi="宋体" w:cs="宋体"/>
          <w:b w:val="0"/>
          <w:i w:val="0"/>
          <w:strike w:val="0"/>
          <w:dstrike w:val="0"/>
          <w:color w:val="000000"/>
          <w:sz w:val="24"/>
          <w:szCs w:val="24"/>
          <w:lang w:val="en-US" w:eastAsia="zh-CN"/>
        </w:rPr>
        <w:t>有权无责</w:t>
      </w:r>
      <w:r>
        <w:rPr>
          <w:rFonts w:hint="eastAsia" w:ascii="宋体" w:hAnsi="宋体" w:eastAsia="宋体" w:cs="宋体"/>
          <w:b w:val="0"/>
          <w:i w:val="0"/>
          <w:strike w:val="0"/>
          <w:dstrike w:val="0"/>
          <w:color w:val="000000"/>
          <w:sz w:val="24"/>
          <w:szCs w:val="24"/>
        </w:rPr>
        <w:t>解除本合同</w:t>
      </w:r>
      <w:r>
        <w:rPr>
          <w:rFonts w:ascii="宋体" w:hAnsi="宋体" w:eastAsia="宋体" w:cs="宋体"/>
          <w:b w:val="0"/>
          <w:i w:val="0"/>
          <w:strike w:val="0"/>
          <w:dstrike w:val="0"/>
          <w:color w:val="000000"/>
          <w:sz w:val="24"/>
          <w:szCs w:val="24"/>
        </w:rPr>
        <w:t>：</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9.6.1</w:t>
      </w:r>
      <w:r>
        <w:rPr>
          <w:rFonts w:ascii="宋体" w:hAnsi="宋体" w:eastAsia="宋体" w:cs="宋体"/>
          <w:b w:val="0"/>
          <w:i w:val="0"/>
          <w:strike w:val="0"/>
          <w:dstrike w:val="0"/>
          <w:color w:val="000000"/>
          <w:sz w:val="24"/>
          <w:szCs w:val="24"/>
        </w:rPr>
        <w:t>根据国家法律法规、政策规章或地方性法规、地方政策文件等要求，实施本项目需强制配置储能设施的；</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9.6.2甲方经营情况恶化，持续经营能力无法保证的；</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hint="eastAsia" w:ascii="宋体" w:hAnsi="宋体" w:eastAsia="宋体" w:cs="宋体"/>
          <w:color w:val="000000"/>
          <w:sz w:val="24"/>
          <w:szCs w:val="24"/>
        </w:rPr>
      </w:pPr>
      <w:r>
        <w:rPr>
          <w:rFonts w:hint="eastAsia" w:ascii="宋体" w:hAnsi="宋体" w:cs="宋体"/>
          <w:b w:val="0"/>
          <w:i w:val="0"/>
          <w:strike w:val="0"/>
          <w:dstrike w:val="0"/>
          <w:color w:val="000000"/>
          <w:sz w:val="24"/>
          <w:szCs w:val="24"/>
          <w:lang w:val="en-US" w:eastAsia="zh-CN"/>
        </w:rPr>
        <w:t>9.6.3</w:t>
      </w:r>
      <w:r>
        <w:rPr>
          <w:rFonts w:ascii="宋体" w:hAnsi="宋体" w:eastAsia="宋体" w:cs="宋体"/>
          <w:b w:val="0"/>
          <w:i w:val="0"/>
          <w:strike w:val="0"/>
          <w:dstrike w:val="0"/>
          <w:color w:val="000000"/>
          <w:sz w:val="24"/>
          <w:szCs w:val="24"/>
        </w:rPr>
        <w:t>其他甲方原因导致的项目停产或发电收益显著降低等不利影响的</w:t>
      </w:r>
      <w:r>
        <w:rPr>
          <w:rFonts w:hint="eastAsia" w:ascii="宋体" w:hAnsi="宋体" w:cs="宋体"/>
          <w:b w:val="0"/>
          <w:i w:val="0"/>
          <w:strike w:val="0"/>
          <w:dstrike w:val="0"/>
          <w:color w:val="000000"/>
          <w:sz w:val="24"/>
          <w:szCs w:val="24"/>
          <w:lang w:eastAsia="zh-CN"/>
        </w:rPr>
        <w:t>。</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9.7</w:t>
      </w:r>
      <w:r>
        <w:rPr>
          <w:rFonts w:hint="eastAsia" w:ascii="宋体" w:hAnsi="宋体" w:eastAsia="宋体" w:cs="宋体"/>
          <w:b w:val="0"/>
          <w:i w:val="0"/>
          <w:strike w:val="0"/>
          <w:dstrike w:val="0"/>
          <w:color w:val="000000"/>
          <w:sz w:val="24"/>
          <w:szCs w:val="24"/>
        </w:rPr>
        <w:t>若</w:t>
      </w:r>
      <w:r>
        <w:rPr>
          <w:rFonts w:ascii="宋体" w:hAnsi="宋体" w:eastAsia="宋体" w:cs="宋体"/>
          <w:b w:val="0"/>
          <w:i w:val="0"/>
          <w:strike w:val="0"/>
          <w:dstrike w:val="0"/>
          <w:color w:val="000000"/>
          <w:sz w:val="24"/>
          <w:szCs w:val="24"/>
        </w:rPr>
        <w:t>本合同解除，乙方有权将电站资产拆除、取回，甲方应对乙方提供必要的协助。</w:t>
      </w:r>
    </w:p>
    <w:p>
      <w:pPr>
        <w:numPr>
          <w:ilvl w:val="0"/>
          <w:numId w:val="0"/>
        </w:numPr>
        <w:tabs>
          <w:tab w:val="clear" w:pos="360"/>
          <w:tab w:val="clear" w:pos="840"/>
          <w:tab w:val="clear" w:pos="1440"/>
        </w:tabs>
        <w:spacing w:beforeLines="0" w:afterLines="0" w:line="240" w:lineRule="auto"/>
        <w:ind w:right="0"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9.8</w:t>
      </w:r>
      <w:r>
        <w:rPr>
          <w:rFonts w:ascii="宋体" w:hAnsi="宋体" w:eastAsia="宋体" w:cs="宋体"/>
          <w:b w:val="0"/>
          <w:i w:val="0"/>
          <w:strike w:val="0"/>
          <w:dstrike w:val="0"/>
          <w:color w:val="000000"/>
          <w:sz w:val="24"/>
          <w:szCs w:val="24"/>
        </w:rPr>
        <w:t>本合同的解除不影响任意一方根据本合同或者相关的法律法规向对方寻求赔偿的权利，也不影响一方在合同解除前到期的付款义务的履行。任意一方的付款义务应在本合同解除之日起10日内全部履行完毕。</w:t>
      </w:r>
    </w:p>
    <w:p>
      <w:pPr>
        <w:widowControl/>
        <w:spacing w:beforeLines="50" w:afterLines="50" w:line="240" w:lineRule="auto"/>
        <w:ind w:leftChars="200" w:rightChars="0" w:firstLine="0" w:firstLineChars="0"/>
        <w:jc w:val="both"/>
        <w:rPr>
          <w:sz w:val="24"/>
          <w:szCs w:val="24"/>
        </w:rPr>
      </w:pPr>
      <w:r>
        <w:rPr>
          <w:rFonts w:ascii="宋体" w:hAnsi="宋体" w:eastAsia="宋体" w:cs="宋体"/>
          <w:b/>
          <w:i w:val="0"/>
          <w:strike w:val="0"/>
          <w:dstrike w:val="0"/>
          <w:color w:val="000000"/>
          <w:sz w:val="24"/>
          <w:szCs w:val="24"/>
        </w:rPr>
        <w:t>第十条：法律适用与争议解决</w:t>
      </w:r>
    </w:p>
    <w:p>
      <w:pPr>
        <w:numPr>
          <w:ilvl w:val="-1"/>
          <w:numId w:val="0"/>
        </w:numPr>
        <w:spacing w:beforeLines="0" w:afterLines="0" w:line="240" w:lineRule="auto"/>
        <w:ind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10.1</w:t>
      </w:r>
      <w:r>
        <w:rPr>
          <w:rFonts w:ascii="宋体" w:hAnsi="宋体" w:eastAsia="宋体" w:cs="宋体"/>
          <w:b w:val="0"/>
          <w:i w:val="0"/>
          <w:strike w:val="0"/>
          <w:dstrike w:val="0"/>
          <w:color w:val="000000"/>
          <w:sz w:val="24"/>
          <w:szCs w:val="24"/>
        </w:rPr>
        <w:t>本合同的签署、效力、解释和履行均适用中华人民共和国法律并依其解释。</w:t>
      </w:r>
    </w:p>
    <w:p>
      <w:pPr>
        <w:numPr>
          <w:ilvl w:val="-1"/>
          <w:numId w:val="0"/>
        </w:numPr>
        <w:spacing w:beforeLines="0" w:afterLines="0" w:line="240" w:lineRule="auto"/>
        <w:ind w:rightChars="0" w:firstLine="480" w:firstLineChars="200"/>
        <w:jc w:val="both"/>
        <w:rPr>
          <w:rFonts w:ascii="宋体" w:hAnsi="宋体" w:eastAsia="宋体" w:cs="宋体"/>
          <w:b/>
          <w:bCs/>
          <w:sz w:val="24"/>
          <w:szCs w:val="24"/>
        </w:rPr>
      </w:pPr>
      <w:r>
        <w:rPr>
          <w:rFonts w:hint="eastAsia" w:ascii="宋体" w:hAnsi="宋体" w:cs="宋体"/>
          <w:b w:val="0"/>
          <w:i w:val="0"/>
          <w:strike w:val="0"/>
          <w:dstrike w:val="0"/>
          <w:color w:val="000000"/>
          <w:sz w:val="24"/>
          <w:szCs w:val="24"/>
          <w:lang w:val="en-US" w:eastAsia="zh-CN"/>
        </w:rPr>
        <w:t>10.2</w:t>
      </w:r>
      <w:r>
        <w:rPr>
          <w:rFonts w:ascii="宋体" w:hAnsi="宋体" w:eastAsia="宋体" w:cs="宋体"/>
          <w:b w:val="0"/>
          <w:i w:val="0"/>
          <w:strike w:val="0"/>
          <w:dstrike w:val="0"/>
          <w:color w:val="000000"/>
          <w:sz w:val="24"/>
          <w:szCs w:val="24"/>
        </w:rPr>
        <w:t>因履行本合同而引起的任何争议、纠纷，合同各方应友好协商解决。如协商和调解不成，各方均同意向</w:t>
      </w:r>
      <w:r>
        <w:rPr>
          <w:rFonts w:ascii="宋体" w:hAnsi="宋体" w:eastAsia="宋体" w:cs="宋体"/>
          <w:b w:val="0"/>
          <w:i w:val="0"/>
          <w:strike w:val="0"/>
          <w:dstrike w:val="0"/>
          <w:color w:val="000000"/>
          <w:sz w:val="24"/>
          <w:szCs w:val="24"/>
          <w:highlight w:val="none"/>
        </w:rPr>
        <w:t>广州仲裁委员会</w:t>
      </w:r>
      <w:r>
        <w:rPr>
          <w:rFonts w:hint="eastAsia" w:ascii="宋体" w:hAnsi="宋体" w:cs="宋体"/>
          <w:b w:val="0"/>
          <w:i w:val="0"/>
          <w:strike w:val="0"/>
          <w:dstrike w:val="0"/>
          <w:color w:val="000000"/>
          <w:sz w:val="24"/>
          <w:szCs w:val="24"/>
          <w:highlight w:val="none"/>
          <w:lang w:val="en-US" w:eastAsia="zh-CN"/>
        </w:rPr>
        <w:t>在广州</w:t>
      </w:r>
      <w:r>
        <w:rPr>
          <w:rFonts w:hint="eastAsia" w:ascii="宋体" w:hAnsi="宋体" w:cs="宋体"/>
          <w:b w:val="0"/>
          <w:i w:val="0"/>
          <w:strike w:val="0"/>
          <w:dstrike w:val="0"/>
          <w:color w:val="000000"/>
          <w:sz w:val="24"/>
          <w:szCs w:val="24"/>
          <w:lang w:val="en-US" w:eastAsia="zh-CN"/>
        </w:rPr>
        <w:t>申请仲裁，</w:t>
      </w:r>
      <w:r>
        <w:rPr>
          <w:rFonts w:ascii="宋体" w:hAnsi="宋体" w:eastAsia="宋体" w:cs="宋体"/>
          <w:b w:val="0"/>
          <w:i w:val="0"/>
          <w:strike w:val="0"/>
          <w:dstrike w:val="0"/>
          <w:color w:val="000000"/>
          <w:sz w:val="24"/>
          <w:szCs w:val="24"/>
        </w:rPr>
        <w:t>仲裁裁决是终局的，对各方均有约束力。除非另有规定，诉讼有关费用（包括但不限于案件受理费、律师费、保全费、执行费等）由败诉方承担。争议解决期间，除争议事项外，本合同各方仍应继续履行本合同项下的其他条款及相应义务。</w:t>
      </w:r>
    </w:p>
    <w:p>
      <w:pPr>
        <w:widowControl/>
        <w:spacing w:beforeLines="50" w:afterLines="50" w:line="240" w:lineRule="auto"/>
        <w:ind w:leftChars="200" w:rightChars="0" w:firstLine="0" w:firstLineChars="0"/>
        <w:jc w:val="both"/>
        <w:rPr>
          <w:sz w:val="24"/>
          <w:szCs w:val="24"/>
        </w:rPr>
      </w:pPr>
      <w:r>
        <w:rPr>
          <w:rFonts w:ascii="宋体" w:hAnsi="宋体" w:eastAsia="宋体" w:cs="宋体"/>
          <w:b/>
          <w:i w:val="0"/>
          <w:strike w:val="0"/>
          <w:dstrike w:val="0"/>
          <w:color w:val="000000"/>
          <w:sz w:val="24"/>
          <w:szCs w:val="24"/>
        </w:rPr>
        <w:t>第十</w:t>
      </w:r>
      <w:r>
        <w:rPr>
          <w:rFonts w:hint="eastAsia" w:ascii="宋体" w:hAnsi="宋体" w:cs="宋体"/>
          <w:b/>
          <w:i w:val="0"/>
          <w:strike w:val="0"/>
          <w:dstrike w:val="0"/>
          <w:color w:val="000000"/>
          <w:sz w:val="24"/>
          <w:szCs w:val="24"/>
          <w:lang w:val="en-US" w:eastAsia="zh-CN"/>
        </w:rPr>
        <w:t>一</w:t>
      </w:r>
      <w:r>
        <w:rPr>
          <w:rFonts w:ascii="宋体" w:hAnsi="宋体" w:eastAsia="宋体" w:cs="宋体"/>
          <w:b/>
          <w:i w:val="0"/>
          <w:strike w:val="0"/>
          <w:dstrike w:val="0"/>
          <w:color w:val="000000"/>
          <w:sz w:val="24"/>
          <w:szCs w:val="24"/>
        </w:rPr>
        <w:t>条：合同的生效及其他</w:t>
      </w:r>
    </w:p>
    <w:p>
      <w:pPr>
        <w:numPr>
          <w:ilvl w:val="-1"/>
          <w:numId w:val="0"/>
        </w:numPr>
        <w:spacing w:beforeLines="0" w:afterLines="0" w:line="240" w:lineRule="auto"/>
        <w:ind w:rightChars="10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11.1</w:t>
      </w:r>
      <w:r>
        <w:rPr>
          <w:rFonts w:ascii="宋体" w:hAnsi="宋体" w:eastAsia="宋体" w:cs="宋体"/>
          <w:b w:val="0"/>
          <w:i w:val="0"/>
          <w:strike w:val="0"/>
          <w:dstrike w:val="0"/>
          <w:color w:val="000000"/>
          <w:sz w:val="24"/>
          <w:szCs w:val="24"/>
        </w:rPr>
        <w:t>本合同自双方加盖各自公章或合同专用章之日起生效。</w:t>
      </w:r>
    </w:p>
    <w:p>
      <w:pPr>
        <w:numPr>
          <w:ilvl w:val="-1"/>
          <w:numId w:val="0"/>
        </w:numPr>
        <w:spacing w:beforeLines="0" w:afterLines="0" w:line="240" w:lineRule="auto"/>
        <w:ind w:rightChars="10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11.2</w:t>
      </w:r>
      <w:r>
        <w:rPr>
          <w:rFonts w:ascii="宋体" w:hAnsi="宋体" w:eastAsia="宋体" w:cs="宋体"/>
          <w:b w:val="0"/>
          <w:i w:val="0"/>
          <w:strike w:val="0"/>
          <w:dstrike w:val="0"/>
          <w:color w:val="000000"/>
          <w:sz w:val="24"/>
          <w:szCs w:val="24"/>
        </w:rPr>
        <w:t>双方各自保证，在签订本合同时已经取得各自的审批和授权，不存在越权行为。未来如因此而产生纠纷，并不免除本合同的法律效力。</w:t>
      </w:r>
    </w:p>
    <w:p>
      <w:pPr>
        <w:numPr>
          <w:ilvl w:val="-1"/>
          <w:numId w:val="0"/>
        </w:numPr>
        <w:spacing w:beforeLines="0" w:afterLines="0" w:line="240" w:lineRule="auto"/>
        <w:ind w:rightChars="10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11.3</w:t>
      </w:r>
      <w:r>
        <w:rPr>
          <w:rFonts w:ascii="宋体" w:hAnsi="宋体" w:eastAsia="宋体" w:cs="宋体"/>
          <w:b w:val="0"/>
          <w:i w:val="0"/>
          <w:strike w:val="0"/>
          <w:dstrike w:val="0"/>
          <w:color w:val="000000"/>
          <w:sz w:val="24"/>
          <w:szCs w:val="24"/>
        </w:rPr>
        <w:t>如乙方需要，甲方应在收到乙方通知之日起【5】日内办理本合同的租赁备案手续。</w:t>
      </w:r>
    </w:p>
    <w:p>
      <w:pPr>
        <w:numPr>
          <w:ilvl w:val="-1"/>
          <w:numId w:val="0"/>
        </w:numPr>
        <w:spacing w:beforeLines="0" w:afterLines="0" w:line="240" w:lineRule="auto"/>
        <w:ind w:rightChars="0" w:firstLine="480" w:firstLineChars="200"/>
        <w:jc w:val="both"/>
        <w:rPr>
          <w:rFonts w:ascii="宋体" w:hAnsi="宋体" w:eastAsia="宋体" w:cs="宋体"/>
          <w:sz w:val="24"/>
          <w:szCs w:val="24"/>
        </w:rPr>
      </w:pPr>
      <w:r>
        <w:rPr>
          <w:rFonts w:hint="eastAsia" w:ascii="宋体" w:hAnsi="宋体" w:cs="宋体"/>
          <w:b w:val="0"/>
          <w:i w:val="0"/>
          <w:strike w:val="0"/>
          <w:dstrike w:val="0"/>
          <w:color w:val="000000"/>
          <w:sz w:val="24"/>
          <w:szCs w:val="24"/>
          <w:lang w:val="en-US" w:eastAsia="zh-CN"/>
        </w:rPr>
        <w:t>11.4</w:t>
      </w:r>
      <w:r>
        <w:rPr>
          <w:rFonts w:ascii="宋体" w:hAnsi="宋体" w:eastAsia="宋体" w:cs="宋体"/>
          <w:b w:val="0"/>
          <w:i w:val="0"/>
          <w:strike w:val="0"/>
          <w:dstrike w:val="0"/>
          <w:color w:val="000000"/>
          <w:sz w:val="24"/>
          <w:szCs w:val="24"/>
        </w:rPr>
        <w:t>乙方若成立项目公司负责本项目的开发建设和运营。双方同意在项目公司成立后，本合同项下乙方的权利义务由项目公司承继，届时甲方应配合与乙方及乙方项目公司签署相关补充协议，就上述事项予以确认。</w:t>
      </w:r>
    </w:p>
    <w:p>
      <w:pPr>
        <w:spacing w:beforeLines="0" w:afterLines="0" w:line="360" w:lineRule="auto"/>
        <w:ind w:rightChars="0" w:firstLine="480" w:firstLineChars="200"/>
        <w:jc w:val="both"/>
        <w:rPr>
          <w:rFonts w:ascii="宋体" w:hAnsi="宋体" w:eastAsia="宋体" w:cs="宋体"/>
          <w:b w:val="0"/>
          <w:i w:val="0"/>
          <w:strike w:val="0"/>
          <w:dstrike w:val="0"/>
          <w:color w:val="000000"/>
          <w:sz w:val="24"/>
          <w:szCs w:val="24"/>
        </w:rPr>
      </w:pPr>
      <w:r>
        <w:rPr>
          <w:rFonts w:hint="eastAsia" w:ascii="宋体" w:hAnsi="宋体" w:cs="宋体"/>
          <w:b w:val="0"/>
          <w:i w:val="0"/>
          <w:strike w:val="0"/>
          <w:dstrike w:val="0"/>
          <w:color w:val="000000"/>
          <w:sz w:val="24"/>
          <w:szCs w:val="24"/>
          <w:lang w:val="en-US" w:eastAsia="zh-CN"/>
        </w:rPr>
        <w:t>11.5</w:t>
      </w:r>
      <w:r>
        <w:rPr>
          <w:rFonts w:ascii="宋体" w:hAnsi="宋体" w:eastAsia="宋体" w:cs="宋体"/>
          <w:b w:val="0"/>
          <w:i w:val="0"/>
          <w:strike w:val="0"/>
          <w:dstrike w:val="0"/>
          <w:color w:val="000000"/>
          <w:sz w:val="24"/>
          <w:szCs w:val="24"/>
        </w:rPr>
        <w:t>本合同文本一式</w:t>
      </w:r>
      <w:r>
        <w:rPr>
          <w:rFonts w:hint="eastAsia" w:ascii="宋体" w:hAnsi="宋体" w:cs="宋体"/>
          <w:b w:val="0"/>
          <w:i w:val="0"/>
          <w:strike w:val="0"/>
          <w:dstrike w:val="0"/>
          <w:color w:val="000000"/>
          <w:sz w:val="24"/>
          <w:szCs w:val="24"/>
          <w:lang w:val="en-US" w:eastAsia="zh-CN"/>
        </w:rPr>
        <w:t>肆</w:t>
      </w:r>
      <w:r>
        <w:rPr>
          <w:rFonts w:ascii="宋体" w:hAnsi="宋体" w:eastAsia="宋体" w:cs="宋体"/>
          <w:b w:val="0"/>
          <w:i w:val="0"/>
          <w:strike w:val="0"/>
          <w:dstrike w:val="0"/>
          <w:color w:val="000000"/>
          <w:sz w:val="24"/>
          <w:szCs w:val="24"/>
        </w:rPr>
        <w:t>份，双方各执</w:t>
      </w:r>
      <w:r>
        <w:rPr>
          <w:rFonts w:hint="eastAsia" w:ascii="宋体" w:hAnsi="宋体" w:cs="宋体"/>
          <w:b w:val="0"/>
          <w:i w:val="0"/>
          <w:strike w:val="0"/>
          <w:dstrike w:val="0"/>
          <w:color w:val="000000"/>
          <w:sz w:val="24"/>
          <w:szCs w:val="24"/>
          <w:lang w:val="en-US" w:eastAsia="zh-CN"/>
        </w:rPr>
        <w:t>贰</w:t>
      </w:r>
      <w:r>
        <w:rPr>
          <w:rFonts w:ascii="宋体" w:hAnsi="宋体" w:eastAsia="宋体" w:cs="宋体"/>
          <w:b w:val="0"/>
          <w:i w:val="0"/>
          <w:strike w:val="0"/>
          <w:dstrike w:val="0"/>
          <w:color w:val="000000"/>
          <w:sz w:val="24"/>
          <w:szCs w:val="24"/>
        </w:rPr>
        <w:t>份，具有同等法律效力。</w:t>
      </w:r>
    </w:p>
    <w:p>
      <w:pPr>
        <w:spacing w:beforeLines="0" w:afterLines="0" w:line="360" w:lineRule="auto"/>
        <w:ind w:rightChars="0" w:firstLine="480" w:firstLineChars="200"/>
        <w:jc w:val="both"/>
        <w:rPr>
          <w:rFonts w:ascii="宋体" w:hAnsi="宋体" w:eastAsia="宋体" w:cs="宋体"/>
          <w:b w:val="0"/>
          <w:i w:val="0"/>
          <w:strike w:val="0"/>
          <w:dstrike w:val="0"/>
          <w:color w:val="000000"/>
          <w:sz w:val="24"/>
          <w:szCs w:val="24"/>
        </w:rPr>
      </w:pPr>
      <w:r>
        <w:rPr>
          <w:rFonts w:ascii="宋体" w:hAnsi="宋体" w:eastAsia="宋体" w:cs="宋体"/>
          <w:b w:val="0"/>
          <w:i w:val="0"/>
          <w:strike w:val="0"/>
          <w:dstrike w:val="0"/>
          <w:color w:val="000000"/>
          <w:sz w:val="24"/>
          <w:szCs w:val="24"/>
        </w:rPr>
        <w:t>（以下无正文，为《分布式光伏发电项目能源管理合同》之签署页）</w:t>
      </w:r>
    </w:p>
    <w:p>
      <w:pPr>
        <w:spacing w:beforeLines="0" w:afterLines="0" w:line="600" w:lineRule="auto"/>
        <w:ind w:left="992" w:leftChars="0" w:rightChars="0" w:hanging="567" w:firstLineChars="0"/>
        <w:jc w:val="both"/>
        <w:rPr>
          <w:sz w:val="24"/>
          <w:szCs w:val="24"/>
        </w:rPr>
      </w:pPr>
      <w:r>
        <w:rPr>
          <w:rFonts w:ascii="宋体" w:hAnsi="宋体" w:eastAsia="宋体" w:cs="宋体"/>
          <w:b w:val="0"/>
          <w:i w:val="0"/>
          <w:strike w:val="0"/>
          <w:dstrike w:val="0"/>
          <w:color w:val="000000"/>
          <w:sz w:val="24"/>
          <w:szCs w:val="24"/>
        </w:rPr>
        <w:t xml:space="preserve">甲方（盖章）：    </w:t>
      </w:r>
      <w:r>
        <w:rPr>
          <w:rFonts w:hint="eastAsia" w:ascii="宋体" w:hAnsi="宋体" w:cs="宋体"/>
          <w:b w:val="0"/>
          <w:i w:val="0"/>
          <w:strike w:val="0"/>
          <w:dstrike w:val="0"/>
          <w:color w:val="000000"/>
          <w:sz w:val="24"/>
          <w:szCs w:val="24"/>
          <w:lang w:val="en-US" w:eastAsia="zh-CN"/>
        </w:rPr>
        <w:t xml:space="preserve">                          </w:t>
      </w:r>
      <w:r>
        <w:rPr>
          <w:rFonts w:ascii="宋体" w:hAnsi="宋体" w:eastAsia="宋体" w:cs="宋体"/>
          <w:b w:val="0"/>
          <w:i w:val="0"/>
          <w:strike w:val="0"/>
          <w:dstrike w:val="0"/>
          <w:color w:val="000000"/>
          <w:sz w:val="24"/>
          <w:szCs w:val="24"/>
        </w:rPr>
        <w:t>乙方（盖章） ：</w:t>
      </w:r>
    </w:p>
    <w:p>
      <w:pPr>
        <w:spacing w:beforeLines="0" w:afterLines="0" w:line="600" w:lineRule="auto"/>
        <w:ind w:left="992" w:leftChars="0" w:rightChars="0" w:hanging="567" w:firstLineChars="0"/>
        <w:jc w:val="both"/>
        <w:rPr>
          <w:sz w:val="24"/>
          <w:szCs w:val="24"/>
        </w:rPr>
      </w:pPr>
      <w:r>
        <w:rPr>
          <w:rFonts w:ascii="宋体" w:hAnsi="宋体" w:eastAsia="宋体" w:cs="宋体"/>
          <w:b w:val="0"/>
          <w:i w:val="0"/>
          <w:strike w:val="0"/>
          <w:dstrike w:val="0"/>
          <w:color w:val="000000"/>
          <w:sz w:val="24"/>
          <w:szCs w:val="24"/>
        </w:rPr>
        <w:t>法定代表人/授权代表：</w:t>
      </w:r>
      <w:r>
        <w:rPr>
          <w:rFonts w:hint="eastAsia" w:ascii="宋体" w:hAnsi="宋体" w:cs="宋体"/>
          <w:b w:val="0"/>
          <w:i w:val="0"/>
          <w:strike w:val="0"/>
          <w:dstrike w:val="0"/>
          <w:color w:val="000000"/>
          <w:sz w:val="24"/>
          <w:szCs w:val="24"/>
          <w:lang w:val="en-US" w:eastAsia="zh-CN"/>
        </w:rPr>
        <w:t xml:space="preserve">                       </w:t>
      </w:r>
      <w:r>
        <w:rPr>
          <w:rFonts w:ascii="宋体" w:hAnsi="宋体" w:eastAsia="宋体" w:cs="宋体"/>
          <w:b w:val="0"/>
          <w:i w:val="0"/>
          <w:strike w:val="0"/>
          <w:dstrike w:val="0"/>
          <w:color w:val="000000"/>
          <w:sz w:val="24"/>
          <w:szCs w:val="24"/>
        </w:rPr>
        <w:t>法定代表人/授权代表：</w:t>
      </w:r>
    </w:p>
    <w:p>
      <w:pPr>
        <w:ind w:firstLine="480" w:firstLineChars="200"/>
        <w:rPr>
          <w:sz w:val="24"/>
          <w:szCs w:val="24"/>
        </w:rPr>
      </w:pPr>
      <w:r>
        <w:rPr>
          <w:rFonts w:ascii="宋体" w:hAnsi="宋体" w:eastAsia="宋体" w:cs="宋体"/>
          <w:b w:val="0"/>
          <w:i w:val="0"/>
          <w:strike w:val="0"/>
          <w:dstrike w:val="0"/>
          <w:color w:val="000000"/>
          <w:sz w:val="24"/>
          <w:szCs w:val="24"/>
        </w:rPr>
        <w:t>签订日期：</w:t>
      </w:r>
      <w:r>
        <w:rPr>
          <w:rFonts w:hint="eastAsia" w:ascii="宋体" w:hAnsi="宋体" w:cs="宋体"/>
          <w:b w:val="0"/>
          <w:i w:val="0"/>
          <w:strike w:val="0"/>
          <w:dstrike w:val="0"/>
          <w:color w:val="000000"/>
          <w:sz w:val="24"/>
          <w:szCs w:val="24"/>
          <w:lang w:val="en-US" w:eastAsia="zh-CN"/>
        </w:rPr>
        <w:t xml:space="preserve">                                  </w:t>
      </w:r>
      <w:r>
        <w:rPr>
          <w:rFonts w:ascii="宋体" w:hAnsi="宋体" w:eastAsia="宋体" w:cs="宋体"/>
          <w:b w:val="0"/>
          <w:i w:val="0"/>
          <w:strike w:val="0"/>
          <w:dstrike w:val="0"/>
          <w:color w:val="000000"/>
          <w:sz w:val="24"/>
          <w:szCs w:val="24"/>
        </w:rPr>
        <w:t>签订日期：</w:t>
      </w:r>
    </w:p>
    <w:p>
      <w:pPr>
        <w:spacing w:before="0" w:beforeLines="0" w:after="0" w:afterLines="0" w:line="600" w:lineRule="auto"/>
        <w:ind w:left="992" w:leftChars="0" w:right="0" w:rightChars="0" w:hanging="567" w:firstLineChars="0"/>
        <w:jc w:val="both"/>
        <w:rPr>
          <w:rFonts w:ascii="Times New Roman" w:hAnsi="Times New Roman" w:eastAsia="微软雅黑" w:cs="Times New Roman"/>
          <w:sz w:val="18"/>
          <w:szCs w:val="18"/>
        </w:rPr>
      </w:pPr>
      <w:r>
        <w:rPr>
          <w:rFonts w:ascii="宋体" w:hAnsi="宋体" w:eastAsia="宋体" w:cs="宋体"/>
          <w:b w:val="0"/>
          <w:i w:val="0"/>
          <w:strike w:val="0"/>
          <w:dstrike w:val="0"/>
          <w:color w:val="000000"/>
          <w:sz w:val="18"/>
        </w:rPr>
        <w:t xml:space="preserve">     </w:t>
      </w:r>
    </w:p>
    <w:bookmarkEnd w:id="17"/>
    <w:p>
      <w:pPr>
        <w:spacing w:beforeLines="0" w:afterLines="0" w:line="600" w:lineRule="auto"/>
        <w:ind w:rightChars="0"/>
        <w:jc w:val="both"/>
        <w:rPr>
          <w:rFonts w:hint="eastAsia" w:ascii="宋体" w:hAnsi="宋体" w:eastAsia="宋体" w:cs="宋体"/>
          <w:b w:val="0"/>
          <w:i w:val="0"/>
          <w:strike w:val="0"/>
          <w:dstrike w:val="0"/>
          <w:color w:val="000000"/>
          <w:sz w:val="24"/>
          <w:szCs w:val="24"/>
        </w:rPr>
      </w:pPr>
      <w:r>
        <w:rPr>
          <w:rFonts w:hint="eastAsia" w:ascii="宋体" w:hAnsi="宋体" w:eastAsia="宋体" w:cs="宋体"/>
          <w:b w:val="0"/>
          <w:i w:val="0"/>
          <w:strike w:val="0"/>
          <w:dstrike w:val="0"/>
          <w:color w:val="000000"/>
          <w:sz w:val="24"/>
          <w:szCs w:val="24"/>
        </w:rPr>
        <w:br w:type="page"/>
      </w:r>
    </w:p>
    <w:p>
      <w:pPr>
        <w:spacing w:beforeLines="0" w:afterLines="0" w:line="600" w:lineRule="auto"/>
        <w:ind w:left="992" w:leftChars="0" w:rightChars="0" w:hanging="567" w:firstLineChars="0"/>
        <w:jc w:val="both"/>
        <w:rPr>
          <w:rFonts w:ascii="宋体" w:hAnsi="宋体" w:eastAsia="宋体" w:cs="宋体"/>
          <w:b w:val="0"/>
          <w:i w:val="0"/>
          <w:strike w:val="0"/>
          <w:dstrike w:val="0"/>
          <w:color w:val="000000"/>
          <w:sz w:val="18"/>
        </w:rPr>
      </w:pPr>
      <w:r>
        <w:rPr>
          <w:rFonts w:hint="eastAsia" w:ascii="宋体" w:hAnsi="宋体" w:eastAsia="宋体" w:cs="宋体"/>
          <w:b w:val="0"/>
          <w:i w:val="0"/>
          <w:strike w:val="0"/>
          <w:dstrike w:val="0"/>
          <w:color w:val="000000"/>
          <w:sz w:val="24"/>
          <w:szCs w:val="24"/>
        </w:rPr>
        <w:t xml:space="preserve"> </w:t>
      </w:r>
    </w:p>
    <w:p>
      <w:pPr>
        <w:spacing w:beforeLines="0" w:afterLines="0" w:line="600" w:lineRule="auto"/>
        <w:ind w:rightChars="0"/>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第六章　</w:t>
      </w:r>
      <w:r>
        <w:rPr>
          <w:rFonts w:hint="eastAsia" w:hAnsi="宋体" w:eastAsia="宋体" w:cs="宋体"/>
          <w:color w:val="auto"/>
          <w:sz w:val="28"/>
          <w:szCs w:val="28"/>
          <w:highlight w:val="none"/>
          <w:lang w:val="en-US" w:eastAsia="zh-CN"/>
        </w:rPr>
        <w:t>磋商响应</w:t>
      </w:r>
      <w:r>
        <w:rPr>
          <w:rFonts w:hint="eastAsia" w:ascii="宋体" w:hAnsi="宋体" w:eastAsia="宋体" w:cs="宋体"/>
          <w:color w:val="auto"/>
          <w:sz w:val="28"/>
          <w:szCs w:val="28"/>
          <w:highlight w:val="none"/>
        </w:rPr>
        <w:t>文件格式</w:t>
      </w:r>
    </w:p>
    <w:p>
      <w:pPr>
        <w:snapToGrid w:val="0"/>
        <w:spacing w:before="120" w:beforeLines="50" w:after="50" w:line="520" w:lineRule="exact"/>
        <w:rPr>
          <w:rFonts w:ascii="宋体"/>
          <w:color w:val="auto"/>
          <w:sz w:val="24"/>
          <w:szCs w:val="24"/>
          <w:highlight w:val="none"/>
        </w:rPr>
      </w:pPr>
      <w:r>
        <w:rPr>
          <w:rFonts w:hint="eastAsia" w:ascii="宋体" w:hAnsi="宋体"/>
          <w:color w:val="auto"/>
          <w:sz w:val="24"/>
          <w:szCs w:val="24"/>
          <w:highlight w:val="none"/>
        </w:rPr>
        <w:t>一、</w:t>
      </w:r>
      <w:r>
        <w:rPr>
          <w:rFonts w:hint="eastAsia" w:ascii="宋体" w:hAnsi="宋体"/>
          <w:b/>
          <w:color w:val="auto"/>
          <w:sz w:val="24"/>
          <w:szCs w:val="24"/>
          <w:highlight w:val="none"/>
        </w:rPr>
        <w:t>所有</w:t>
      </w:r>
      <w:r>
        <w:rPr>
          <w:rFonts w:hint="eastAsia" w:ascii="宋体" w:hAnsi="宋体"/>
          <w:b/>
          <w:color w:val="auto"/>
          <w:sz w:val="24"/>
          <w:szCs w:val="24"/>
          <w:highlight w:val="none"/>
          <w:lang w:val="en-US" w:eastAsia="zh-CN"/>
        </w:rPr>
        <w:t>响应</w:t>
      </w:r>
      <w:r>
        <w:rPr>
          <w:rFonts w:hint="eastAsia" w:ascii="宋体" w:hAnsi="宋体"/>
          <w:b/>
          <w:color w:val="auto"/>
          <w:sz w:val="24"/>
          <w:szCs w:val="24"/>
          <w:highlight w:val="none"/>
        </w:rPr>
        <w:t>文件的密封外包装封面格式</w:t>
      </w:r>
      <w:r>
        <w:rPr>
          <w:rFonts w:hint="eastAsia" w:ascii="宋体" w:hAnsi="宋体"/>
          <w:color w:val="auto"/>
          <w:sz w:val="24"/>
          <w:szCs w:val="24"/>
          <w:highlight w:val="none"/>
        </w:rPr>
        <w:t>：</w:t>
      </w:r>
    </w:p>
    <w:p>
      <w:pPr>
        <w:snapToGrid w:val="0"/>
        <w:spacing w:before="120" w:beforeLines="50" w:after="50" w:line="520" w:lineRule="exact"/>
        <w:jc w:val="center"/>
        <w:rPr>
          <w:rFonts w:ascii="宋体"/>
          <w:b/>
          <w:color w:val="auto"/>
          <w:sz w:val="24"/>
          <w:szCs w:val="24"/>
          <w:highlight w:val="none"/>
        </w:rPr>
      </w:pPr>
      <w:r>
        <w:rPr>
          <w:rFonts w:hint="eastAsia" w:ascii="宋体" w:hAnsi="宋体"/>
          <w:b/>
          <w:color w:val="auto"/>
          <w:sz w:val="24"/>
          <w:szCs w:val="24"/>
          <w:highlight w:val="none"/>
          <w:lang w:val="en-US" w:eastAsia="zh-CN"/>
        </w:rPr>
        <w:t>磋商响应</w:t>
      </w:r>
      <w:r>
        <w:rPr>
          <w:rFonts w:hint="eastAsia" w:ascii="宋体" w:hAnsi="宋体"/>
          <w:b/>
          <w:color w:val="auto"/>
          <w:sz w:val="24"/>
          <w:szCs w:val="24"/>
          <w:highlight w:val="none"/>
        </w:rPr>
        <w:t>文件</w:t>
      </w:r>
    </w:p>
    <w:p>
      <w:pPr>
        <w:snapToGrid w:val="0"/>
        <w:spacing w:before="120" w:beforeLines="50" w:after="50" w:line="520" w:lineRule="exact"/>
        <w:rPr>
          <w:rFonts w:ascii="宋体"/>
          <w:color w:val="auto"/>
          <w:sz w:val="24"/>
          <w:szCs w:val="24"/>
          <w:highlight w:val="none"/>
        </w:rPr>
      </w:pPr>
    </w:p>
    <w:p>
      <w:pPr>
        <w:snapToGrid w:val="0"/>
        <w:spacing w:before="240" w:beforeLines="100" w:after="240" w:afterLines="100" w:line="520" w:lineRule="exact"/>
        <w:ind w:firstLine="964" w:firstLineChars="400"/>
        <w:rPr>
          <w:rFonts w:ascii="宋体"/>
          <w:b/>
          <w:color w:val="auto"/>
          <w:sz w:val="24"/>
          <w:szCs w:val="24"/>
          <w:highlight w:val="none"/>
        </w:rPr>
      </w:pPr>
      <w:r>
        <w:rPr>
          <w:rFonts w:hint="eastAsia" w:ascii="宋体" w:hAnsi="宋体"/>
          <w:b/>
          <w:color w:val="auto"/>
          <w:sz w:val="24"/>
          <w:szCs w:val="24"/>
          <w:highlight w:val="none"/>
        </w:rPr>
        <w:t>项目名称：</w:t>
      </w:r>
    </w:p>
    <w:p>
      <w:pPr>
        <w:snapToGrid w:val="0"/>
        <w:spacing w:before="240" w:beforeLines="100" w:after="240" w:afterLines="100" w:line="520" w:lineRule="exact"/>
        <w:ind w:firstLine="482" w:firstLineChars="200"/>
        <w:rPr>
          <w:rFonts w:ascii="宋体"/>
          <w:b/>
          <w:color w:val="auto"/>
          <w:sz w:val="24"/>
          <w:szCs w:val="24"/>
          <w:highlight w:val="none"/>
        </w:rPr>
      </w:pPr>
      <w:r>
        <w:rPr>
          <w:rFonts w:hint="eastAsia" w:ascii="宋体" w:hAnsi="宋体"/>
          <w:b/>
          <w:color w:val="auto"/>
          <w:sz w:val="24"/>
          <w:szCs w:val="24"/>
          <w:highlight w:val="none"/>
        </w:rPr>
        <w:t xml:space="preserve">    项目编号：</w:t>
      </w:r>
    </w:p>
    <w:p>
      <w:pPr>
        <w:snapToGrid w:val="0"/>
        <w:spacing w:before="240" w:beforeLines="100" w:after="240" w:afterLines="100" w:line="520" w:lineRule="exact"/>
        <w:ind w:firstLine="482" w:firstLineChars="200"/>
        <w:rPr>
          <w:rFonts w:ascii="宋体"/>
          <w:b/>
          <w:color w:val="auto"/>
          <w:sz w:val="24"/>
          <w:szCs w:val="24"/>
          <w:highlight w:val="none"/>
          <w:u w:val="single"/>
        </w:rPr>
      </w:pPr>
      <w:r>
        <w:rPr>
          <w:rFonts w:hint="eastAsia" w:ascii="宋体" w:hAnsi="宋体"/>
          <w:b/>
          <w:color w:val="auto"/>
          <w:sz w:val="24"/>
          <w:szCs w:val="24"/>
          <w:highlight w:val="none"/>
        </w:rPr>
        <w:t xml:space="preserve">   </w:t>
      </w:r>
    </w:p>
    <w:p>
      <w:pPr>
        <w:pStyle w:val="55"/>
        <w:snapToGrid w:val="0"/>
        <w:spacing w:before="240" w:beforeLines="100" w:after="240" w:afterLines="100" w:line="520" w:lineRule="exact"/>
        <w:ind w:firstLine="1024" w:firstLineChars="425"/>
        <w:rPr>
          <w:rFonts w:ascii="宋体"/>
          <w:b/>
          <w:color w:val="auto"/>
          <w:sz w:val="24"/>
          <w:szCs w:val="24"/>
          <w:highlight w:val="none"/>
        </w:rPr>
      </w:pPr>
      <w:r>
        <w:rPr>
          <w:rFonts w:hint="eastAsia" w:ascii="宋体" w:hAnsi="宋体"/>
          <w:b/>
          <w:color w:val="auto"/>
          <w:sz w:val="24"/>
          <w:szCs w:val="24"/>
          <w:highlight w:val="none"/>
          <w:lang w:val="en-US" w:eastAsia="zh-CN"/>
        </w:rPr>
        <w:t>响应</w:t>
      </w:r>
      <w:r>
        <w:rPr>
          <w:rFonts w:hint="eastAsia" w:ascii="宋体" w:hAnsi="宋体"/>
          <w:b/>
          <w:color w:val="auto"/>
          <w:sz w:val="24"/>
          <w:szCs w:val="24"/>
          <w:highlight w:val="none"/>
        </w:rPr>
        <w:t>文件名称：</w:t>
      </w:r>
      <w:bookmarkStart w:id="19" w:name="OLE_LINK11"/>
      <w:r>
        <w:rPr>
          <w:rFonts w:hint="eastAsia" w:ascii="宋体" w:hAnsi="宋体"/>
          <w:b/>
          <w:color w:val="auto"/>
          <w:sz w:val="24"/>
          <w:szCs w:val="24"/>
          <w:highlight w:val="none"/>
        </w:rPr>
        <w:t>资格证明文件、商务及技术文件</w:t>
      </w:r>
      <w:bookmarkEnd w:id="19"/>
    </w:p>
    <w:p>
      <w:pPr>
        <w:pStyle w:val="55"/>
        <w:snapToGrid w:val="0"/>
        <w:spacing w:before="240" w:beforeLines="100" w:after="240" w:afterLines="100" w:line="520" w:lineRule="exact"/>
        <w:ind w:firstLine="1002" w:firstLineChars="416"/>
        <w:rPr>
          <w:rFonts w:ascii="宋体"/>
          <w:b/>
          <w:color w:val="auto"/>
          <w:sz w:val="24"/>
          <w:szCs w:val="24"/>
          <w:highlight w:val="none"/>
        </w:rPr>
      </w:pPr>
      <w:r>
        <w:rPr>
          <w:rFonts w:hint="eastAsia" w:ascii="宋体" w:hAnsi="宋体"/>
          <w:b/>
          <w:color w:val="auto"/>
          <w:sz w:val="24"/>
          <w:szCs w:val="24"/>
          <w:highlight w:val="none"/>
          <w:lang w:val="en-US" w:eastAsia="zh-CN"/>
        </w:rPr>
        <w:t>响应</w:t>
      </w:r>
      <w:r>
        <w:rPr>
          <w:rFonts w:hint="eastAsia" w:ascii="宋体" w:hAnsi="宋体"/>
          <w:b/>
          <w:color w:val="auto"/>
          <w:sz w:val="24"/>
          <w:szCs w:val="24"/>
          <w:highlight w:val="none"/>
        </w:rPr>
        <w:t>人名称：</w:t>
      </w:r>
      <w:r>
        <w:rPr>
          <w:rFonts w:hint="eastAsia" w:ascii="宋体" w:hAnsi="宋体"/>
          <w:b/>
          <w:color w:val="auto"/>
          <w:sz w:val="24"/>
          <w:szCs w:val="24"/>
          <w:highlight w:val="none"/>
          <w:u w:val="single"/>
        </w:rPr>
        <w:t>（</w:t>
      </w:r>
      <w:r>
        <w:rPr>
          <w:rFonts w:hint="eastAsia" w:ascii="宋体" w:hAnsi="宋体"/>
          <w:b/>
          <w:color w:val="auto"/>
          <w:sz w:val="24"/>
          <w:szCs w:val="24"/>
          <w:highlight w:val="none"/>
        </w:rPr>
        <w:t>加盖公章）</w:t>
      </w:r>
    </w:p>
    <w:p>
      <w:pPr>
        <w:pStyle w:val="55"/>
        <w:snapToGrid w:val="0"/>
        <w:spacing w:before="240" w:beforeLines="100" w:after="240" w:afterLines="100" w:line="520" w:lineRule="exact"/>
        <w:ind w:firstLine="1002" w:firstLineChars="416"/>
        <w:rPr>
          <w:rFonts w:ascii="宋体"/>
          <w:b/>
          <w:color w:val="auto"/>
          <w:sz w:val="24"/>
          <w:szCs w:val="24"/>
          <w:highlight w:val="none"/>
          <w:u w:val="single"/>
        </w:rPr>
      </w:pPr>
      <w:r>
        <w:rPr>
          <w:rFonts w:hint="eastAsia" w:ascii="宋体" w:hAnsi="宋体"/>
          <w:b/>
          <w:color w:val="auto"/>
          <w:sz w:val="24"/>
          <w:szCs w:val="24"/>
          <w:highlight w:val="none"/>
          <w:lang w:val="en-US" w:eastAsia="zh-CN"/>
        </w:rPr>
        <w:t>响应</w:t>
      </w:r>
      <w:r>
        <w:rPr>
          <w:rFonts w:hint="eastAsia" w:ascii="宋体" w:hAnsi="宋体"/>
          <w:b/>
          <w:color w:val="auto"/>
          <w:sz w:val="24"/>
          <w:szCs w:val="24"/>
          <w:highlight w:val="none"/>
        </w:rPr>
        <w:t>人地址：</w:t>
      </w:r>
    </w:p>
    <w:p>
      <w:pPr>
        <w:pStyle w:val="55"/>
        <w:snapToGrid w:val="0"/>
        <w:spacing w:before="240" w:beforeLines="100" w:after="240" w:afterLines="100" w:line="520" w:lineRule="exact"/>
        <w:ind w:firstLine="964" w:firstLineChars="400"/>
        <w:rPr>
          <w:rFonts w:ascii="宋体"/>
          <w:b/>
          <w:color w:val="auto"/>
          <w:sz w:val="24"/>
          <w:szCs w:val="24"/>
          <w:highlight w:val="none"/>
          <w:u w:val="single"/>
        </w:rPr>
      </w:pPr>
      <w:r>
        <w:rPr>
          <w:rFonts w:hint="eastAsia" w:ascii="宋体" w:hAnsi="宋体"/>
          <w:b/>
          <w:color w:val="auto"/>
          <w:sz w:val="24"/>
          <w:szCs w:val="24"/>
          <w:highlight w:val="none"/>
          <w:lang w:val="en-US" w:eastAsia="zh-CN"/>
        </w:rPr>
        <w:t>响应</w:t>
      </w:r>
      <w:r>
        <w:rPr>
          <w:rFonts w:hint="eastAsia" w:ascii="宋体" w:hAnsi="宋体"/>
          <w:b/>
          <w:color w:val="auto"/>
          <w:sz w:val="24"/>
          <w:szCs w:val="24"/>
          <w:highlight w:val="none"/>
        </w:rPr>
        <w:t>联系人：电话</w:t>
      </w:r>
    </w:p>
    <w:p>
      <w:pPr>
        <w:pStyle w:val="55"/>
        <w:snapToGrid w:val="0"/>
        <w:spacing w:before="240" w:beforeLines="100" w:after="240" w:afterLines="100" w:line="520" w:lineRule="exact"/>
        <w:ind w:firstLine="964" w:firstLineChars="400"/>
        <w:rPr>
          <w:rFonts w:ascii="宋体"/>
          <w:b/>
          <w:color w:val="auto"/>
          <w:sz w:val="24"/>
          <w:szCs w:val="24"/>
          <w:highlight w:val="none"/>
          <w:u w:val="single"/>
        </w:rPr>
      </w:pPr>
      <w:r>
        <w:rPr>
          <w:rFonts w:hint="eastAsia" w:ascii="宋体" w:hAnsi="宋体"/>
          <w:b/>
          <w:color w:val="auto"/>
          <w:sz w:val="24"/>
          <w:szCs w:val="24"/>
          <w:highlight w:val="none"/>
        </w:rPr>
        <w:t>启封时间：</w:t>
      </w:r>
      <w:r>
        <w:rPr>
          <w:rFonts w:hint="eastAsia" w:ascii="宋体" w:hAnsi="宋体"/>
          <w:b/>
          <w:color w:val="auto"/>
          <w:sz w:val="24"/>
          <w:szCs w:val="24"/>
          <w:highlight w:val="none"/>
          <w:u w:val="single"/>
        </w:rPr>
        <w:t>在</w:t>
      </w:r>
      <w:r>
        <w:rPr>
          <w:rFonts w:ascii="宋体" w:hAnsi="宋体"/>
          <w:b/>
          <w:color w:val="auto"/>
          <w:sz w:val="24"/>
          <w:szCs w:val="24"/>
          <w:highlight w:val="none"/>
          <w:u w:val="single"/>
        </w:rPr>
        <w:t xml:space="preserve">20     </w:t>
      </w:r>
      <w:r>
        <w:rPr>
          <w:rFonts w:hint="eastAsia" w:ascii="宋体" w:hAnsi="宋体"/>
          <w:b/>
          <w:color w:val="auto"/>
          <w:sz w:val="24"/>
          <w:szCs w:val="24"/>
          <w:highlight w:val="none"/>
          <w:u w:val="single"/>
        </w:rPr>
        <w:t>年月日时分之前不得启封</w:t>
      </w:r>
    </w:p>
    <w:p>
      <w:pPr>
        <w:snapToGrid w:val="0"/>
        <w:spacing w:before="120" w:beforeLines="50" w:after="50" w:line="520" w:lineRule="exact"/>
        <w:ind w:firstLine="4080" w:firstLineChars="1700"/>
        <w:rPr>
          <w:rFonts w:ascii="宋体"/>
          <w:color w:val="auto"/>
          <w:sz w:val="24"/>
          <w:szCs w:val="24"/>
          <w:highlight w:val="none"/>
        </w:rPr>
      </w:pPr>
    </w:p>
    <w:p>
      <w:pPr>
        <w:snapToGrid w:val="0"/>
        <w:spacing w:before="120" w:beforeLines="50" w:after="50" w:line="520" w:lineRule="exact"/>
        <w:ind w:firstLine="645"/>
        <w:jc w:val="center"/>
        <w:rPr>
          <w:rFonts w:ascii="宋体"/>
          <w:color w:val="auto"/>
          <w:sz w:val="24"/>
          <w:szCs w:val="24"/>
          <w:highlight w:val="none"/>
        </w:rPr>
      </w:pPr>
      <w:r>
        <w:rPr>
          <w:rFonts w:hint="eastAsia" w:ascii="宋体" w:hAnsi="宋体"/>
          <w:color w:val="auto"/>
          <w:sz w:val="24"/>
          <w:szCs w:val="24"/>
          <w:highlight w:val="none"/>
        </w:rPr>
        <w:t>年月日</w:t>
      </w:r>
    </w:p>
    <w:p>
      <w:pPr>
        <w:snapToGrid w:val="0"/>
        <w:spacing w:before="120" w:beforeLines="50" w:after="50" w:line="520" w:lineRule="exact"/>
        <w:outlineLvl w:val="1"/>
        <w:rPr>
          <w:rFonts w:ascii="宋体"/>
          <w:color w:val="auto"/>
          <w:sz w:val="24"/>
          <w:szCs w:val="24"/>
          <w:highlight w:val="none"/>
        </w:rPr>
      </w:pPr>
      <w:r>
        <w:rPr>
          <w:rFonts w:ascii="宋体"/>
          <w:color w:val="auto"/>
          <w:sz w:val="24"/>
          <w:szCs w:val="24"/>
          <w:highlight w:val="none"/>
          <w:u w:val="single"/>
        </w:rPr>
        <w:br w:type="page"/>
      </w:r>
      <w:r>
        <w:rPr>
          <w:rFonts w:hint="eastAsia" w:ascii="宋体" w:hAnsi="宋体"/>
          <w:color w:val="auto"/>
          <w:sz w:val="24"/>
          <w:szCs w:val="24"/>
          <w:highlight w:val="none"/>
        </w:rPr>
        <w:t>二、</w:t>
      </w:r>
      <w:r>
        <w:rPr>
          <w:rFonts w:hint="eastAsia" w:ascii="宋体" w:hAnsi="宋体"/>
          <w:color w:val="auto"/>
          <w:sz w:val="24"/>
          <w:szCs w:val="24"/>
          <w:highlight w:val="none"/>
          <w:lang w:val="en-US" w:eastAsia="zh-CN"/>
        </w:rPr>
        <w:t>磋商响应</w:t>
      </w:r>
      <w:r>
        <w:rPr>
          <w:rFonts w:hint="eastAsia" w:ascii="宋体" w:hAnsi="宋体"/>
          <w:color w:val="auto"/>
          <w:sz w:val="24"/>
          <w:szCs w:val="24"/>
          <w:highlight w:val="none"/>
        </w:rPr>
        <w:t>文件正本</w:t>
      </w:r>
      <w:r>
        <w:rPr>
          <w:rFonts w:ascii="宋体" w:hAnsi="宋体"/>
          <w:color w:val="auto"/>
          <w:sz w:val="24"/>
          <w:szCs w:val="24"/>
          <w:highlight w:val="none"/>
        </w:rPr>
        <w:t>/</w:t>
      </w:r>
      <w:r>
        <w:rPr>
          <w:rFonts w:hint="eastAsia" w:ascii="宋体" w:hAnsi="宋体"/>
          <w:color w:val="auto"/>
          <w:sz w:val="24"/>
          <w:szCs w:val="24"/>
          <w:highlight w:val="none"/>
        </w:rPr>
        <w:t>副本封面格式</w:t>
      </w:r>
    </w:p>
    <w:p>
      <w:pPr>
        <w:snapToGrid w:val="0"/>
        <w:spacing w:before="120" w:beforeLines="50" w:after="50" w:line="520" w:lineRule="exact"/>
        <w:rPr>
          <w:rFonts w:ascii="宋体"/>
          <w:b/>
          <w:color w:val="auto"/>
          <w:sz w:val="24"/>
          <w:szCs w:val="24"/>
          <w:highlight w:val="none"/>
        </w:rPr>
      </w:pPr>
      <w:r>
        <w:rPr>
          <w:rFonts w:hint="eastAsia" w:ascii="宋体" w:hAnsi="宋体"/>
          <w:b/>
          <w:color w:val="auto"/>
          <w:sz w:val="24"/>
          <w:szCs w:val="24"/>
          <w:highlight w:val="none"/>
        </w:rPr>
        <w:t>（正本</w:t>
      </w:r>
      <w:r>
        <w:rPr>
          <w:rFonts w:ascii="宋体" w:hAnsi="宋体"/>
          <w:b/>
          <w:color w:val="auto"/>
          <w:sz w:val="24"/>
          <w:szCs w:val="24"/>
          <w:highlight w:val="none"/>
        </w:rPr>
        <w:t>/</w:t>
      </w:r>
      <w:r>
        <w:rPr>
          <w:rFonts w:hint="eastAsia" w:ascii="宋体" w:hAnsi="宋体"/>
          <w:b/>
          <w:color w:val="auto"/>
          <w:sz w:val="24"/>
          <w:szCs w:val="24"/>
          <w:highlight w:val="none"/>
        </w:rPr>
        <w:t>或副本）</w:t>
      </w:r>
    </w:p>
    <w:p>
      <w:pPr>
        <w:snapToGrid w:val="0"/>
        <w:spacing w:before="120" w:beforeLines="50" w:after="50" w:line="520" w:lineRule="exact"/>
        <w:rPr>
          <w:rFonts w:ascii="宋体"/>
          <w:color w:val="auto"/>
          <w:sz w:val="24"/>
          <w:szCs w:val="24"/>
          <w:highlight w:val="none"/>
        </w:rPr>
      </w:pPr>
    </w:p>
    <w:p>
      <w:pPr>
        <w:snapToGrid w:val="0"/>
        <w:spacing w:line="520" w:lineRule="exact"/>
        <w:jc w:val="center"/>
        <w:rPr>
          <w:rFonts w:ascii="宋体"/>
          <w:color w:val="auto"/>
          <w:sz w:val="24"/>
          <w:szCs w:val="24"/>
          <w:highlight w:val="none"/>
        </w:rPr>
      </w:pPr>
      <w:r>
        <w:rPr>
          <w:rFonts w:hint="eastAsia" w:ascii="宋体" w:hAnsi="宋体"/>
          <w:color w:val="auto"/>
          <w:sz w:val="24"/>
          <w:szCs w:val="24"/>
          <w:highlight w:val="none"/>
          <w:lang w:val="en-US" w:eastAsia="zh-CN"/>
        </w:rPr>
        <w:t>磋商响应</w:t>
      </w:r>
      <w:r>
        <w:rPr>
          <w:rFonts w:hint="eastAsia" w:ascii="宋体" w:hAnsi="宋体"/>
          <w:color w:val="auto"/>
          <w:sz w:val="24"/>
          <w:szCs w:val="24"/>
          <w:highlight w:val="none"/>
        </w:rPr>
        <w:t>文件</w:t>
      </w:r>
    </w:p>
    <w:p>
      <w:pPr>
        <w:snapToGrid w:val="0"/>
        <w:spacing w:line="520" w:lineRule="exact"/>
        <w:ind w:firstLine="960" w:firstLineChars="400"/>
        <w:rPr>
          <w:rFonts w:ascii="宋体"/>
          <w:color w:val="auto"/>
          <w:sz w:val="24"/>
          <w:szCs w:val="24"/>
          <w:highlight w:val="none"/>
        </w:rPr>
      </w:pPr>
      <w:r>
        <w:rPr>
          <w:rFonts w:hint="eastAsia" w:ascii="宋体" w:hAnsi="宋体"/>
          <w:color w:val="auto"/>
          <w:sz w:val="24"/>
          <w:szCs w:val="24"/>
          <w:highlight w:val="none"/>
        </w:rPr>
        <w:t>项目名称：</w:t>
      </w:r>
    </w:p>
    <w:p>
      <w:pPr>
        <w:snapToGrid w:val="0"/>
        <w:spacing w:line="520" w:lineRule="exact"/>
        <w:ind w:firstLine="480" w:firstLineChars="200"/>
        <w:rPr>
          <w:rFonts w:ascii="宋体"/>
          <w:color w:val="auto"/>
          <w:sz w:val="24"/>
          <w:szCs w:val="2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项目编号：</w:t>
      </w:r>
    </w:p>
    <w:p>
      <w:pPr>
        <w:pStyle w:val="55"/>
        <w:snapToGrid w:val="0"/>
        <w:spacing w:line="520" w:lineRule="exact"/>
        <w:ind w:firstLine="1020" w:firstLineChars="425"/>
        <w:rPr>
          <w:rFonts w:ascii="宋体"/>
          <w:color w:val="auto"/>
          <w:sz w:val="24"/>
          <w:szCs w:val="24"/>
          <w:highlight w:val="none"/>
        </w:rPr>
      </w:pPr>
      <w:r>
        <w:rPr>
          <w:rFonts w:hint="eastAsia" w:ascii="宋体" w:hAnsi="宋体"/>
          <w:color w:val="auto"/>
          <w:sz w:val="24"/>
          <w:szCs w:val="24"/>
          <w:highlight w:val="none"/>
          <w:lang w:val="en-US" w:eastAsia="zh-CN"/>
        </w:rPr>
        <w:t>响应</w:t>
      </w:r>
      <w:r>
        <w:rPr>
          <w:rFonts w:hint="eastAsia" w:ascii="宋体" w:hAnsi="宋体"/>
          <w:color w:val="auto"/>
          <w:sz w:val="24"/>
          <w:szCs w:val="24"/>
          <w:highlight w:val="none"/>
        </w:rPr>
        <w:t>文件名称：资格证明文件、商务及技术文件</w:t>
      </w:r>
    </w:p>
    <w:p>
      <w:pPr>
        <w:pStyle w:val="55"/>
        <w:snapToGrid w:val="0"/>
        <w:spacing w:line="520" w:lineRule="exact"/>
        <w:ind w:firstLine="998" w:firstLineChars="416"/>
        <w:rPr>
          <w:rFonts w:ascii="宋体"/>
          <w:color w:val="auto"/>
          <w:sz w:val="24"/>
          <w:szCs w:val="24"/>
          <w:highlight w:val="none"/>
        </w:rPr>
      </w:pPr>
      <w:r>
        <w:rPr>
          <w:rFonts w:hint="eastAsia" w:ascii="宋体" w:hAnsi="宋体"/>
          <w:color w:val="auto"/>
          <w:sz w:val="24"/>
          <w:szCs w:val="24"/>
          <w:highlight w:val="none"/>
          <w:lang w:val="en-US" w:eastAsia="zh-CN"/>
        </w:rPr>
        <w:t>响应</w:t>
      </w:r>
      <w:r>
        <w:rPr>
          <w:rFonts w:hint="eastAsia" w:ascii="宋体" w:hAnsi="宋体"/>
          <w:color w:val="auto"/>
          <w:sz w:val="24"/>
          <w:szCs w:val="24"/>
          <w:highlight w:val="none"/>
        </w:rPr>
        <w:t>人名称：</w:t>
      </w:r>
      <w:r>
        <w:rPr>
          <w:rFonts w:hint="eastAsia" w:ascii="宋体" w:hAnsi="宋体"/>
          <w:color w:val="auto"/>
          <w:sz w:val="24"/>
          <w:szCs w:val="24"/>
          <w:highlight w:val="none"/>
          <w:u w:val="single"/>
        </w:rPr>
        <w:t>（</w:t>
      </w:r>
      <w:r>
        <w:rPr>
          <w:rFonts w:hint="eastAsia" w:ascii="宋体" w:hAnsi="宋体"/>
          <w:color w:val="auto"/>
          <w:sz w:val="24"/>
          <w:szCs w:val="24"/>
          <w:highlight w:val="none"/>
        </w:rPr>
        <w:t>加盖公章）</w:t>
      </w:r>
    </w:p>
    <w:p>
      <w:pPr>
        <w:pStyle w:val="55"/>
        <w:snapToGrid w:val="0"/>
        <w:spacing w:line="520" w:lineRule="exact"/>
        <w:ind w:firstLine="998" w:firstLineChars="416"/>
        <w:rPr>
          <w:rFonts w:ascii="宋体"/>
          <w:color w:val="auto"/>
          <w:sz w:val="24"/>
          <w:szCs w:val="24"/>
          <w:highlight w:val="none"/>
          <w:u w:val="single"/>
        </w:rPr>
      </w:pPr>
      <w:r>
        <w:rPr>
          <w:rFonts w:hint="eastAsia" w:ascii="宋体" w:hAnsi="宋体"/>
          <w:color w:val="auto"/>
          <w:sz w:val="24"/>
          <w:szCs w:val="24"/>
          <w:highlight w:val="none"/>
          <w:lang w:val="en-US" w:eastAsia="zh-CN"/>
        </w:rPr>
        <w:t>响应</w:t>
      </w:r>
      <w:r>
        <w:rPr>
          <w:rFonts w:hint="eastAsia" w:ascii="宋体" w:hAnsi="宋体"/>
          <w:color w:val="auto"/>
          <w:sz w:val="24"/>
          <w:szCs w:val="24"/>
          <w:highlight w:val="none"/>
        </w:rPr>
        <w:t>人地址：</w:t>
      </w:r>
    </w:p>
    <w:p>
      <w:pPr>
        <w:pStyle w:val="55"/>
        <w:snapToGrid w:val="0"/>
        <w:spacing w:line="520" w:lineRule="exact"/>
        <w:ind w:firstLine="960" w:firstLineChars="400"/>
        <w:rPr>
          <w:rFonts w:ascii="宋体"/>
          <w:color w:val="auto"/>
          <w:sz w:val="24"/>
          <w:szCs w:val="24"/>
          <w:highlight w:val="none"/>
          <w:u w:val="single"/>
        </w:rPr>
      </w:pPr>
      <w:r>
        <w:rPr>
          <w:rFonts w:hint="eastAsia" w:ascii="宋体" w:hAnsi="宋体"/>
          <w:color w:val="auto"/>
          <w:sz w:val="24"/>
          <w:szCs w:val="24"/>
          <w:highlight w:val="none"/>
          <w:lang w:val="en-US" w:eastAsia="zh-CN"/>
        </w:rPr>
        <w:t>响应</w:t>
      </w:r>
      <w:r>
        <w:rPr>
          <w:rFonts w:hint="eastAsia" w:ascii="宋体" w:hAnsi="宋体"/>
          <w:color w:val="auto"/>
          <w:sz w:val="24"/>
          <w:szCs w:val="24"/>
          <w:highlight w:val="none"/>
        </w:rPr>
        <w:t>联系人：电话</w:t>
      </w:r>
    </w:p>
    <w:p>
      <w:pPr>
        <w:pStyle w:val="55"/>
        <w:snapToGrid w:val="0"/>
        <w:spacing w:line="520" w:lineRule="exact"/>
        <w:ind w:firstLine="960" w:firstLineChars="400"/>
        <w:rPr>
          <w:rFonts w:ascii="宋体"/>
          <w:color w:val="auto"/>
          <w:sz w:val="24"/>
          <w:szCs w:val="24"/>
          <w:highlight w:val="none"/>
          <w:u w:val="single"/>
        </w:rPr>
      </w:pPr>
      <w:r>
        <w:rPr>
          <w:rFonts w:hint="eastAsia" w:ascii="宋体" w:hAnsi="宋体"/>
          <w:color w:val="auto"/>
          <w:sz w:val="24"/>
          <w:szCs w:val="24"/>
          <w:highlight w:val="none"/>
        </w:rPr>
        <w:t>启封时间：</w:t>
      </w:r>
      <w:r>
        <w:rPr>
          <w:rFonts w:hint="eastAsia" w:ascii="宋体" w:hAnsi="宋体"/>
          <w:color w:val="auto"/>
          <w:sz w:val="24"/>
          <w:szCs w:val="24"/>
          <w:highlight w:val="none"/>
          <w:u w:val="single"/>
        </w:rPr>
        <w:t>在</w:t>
      </w:r>
      <w:r>
        <w:rPr>
          <w:rFonts w:ascii="宋体" w:hAnsi="宋体"/>
          <w:color w:val="auto"/>
          <w:sz w:val="24"/>
          <w:szCs w:val="24"/>
          <w:highlight w:val="none"/>
          <w:u w:val="single"/>
        </w:rPr>
        <w:t xml:space="preserve">20     </w:t>
      </w:r>
      <w:r>
        <w:rPr>
          <w:rFonts w:hint="eastAsia" w:ascii="宋体" w:hAnsi="宋体"/>
          <w:color w:val="auto"/>
          <w:sz w:val="24"/>
          <w:szCs w:val="24"/>
          <w:highlight w:val="none"/>
          <w:u w:val="single"/>
        </w:rPr>
        <w:t>年月日时分之前不得启封</w:t>
      </w:r>
    </w:p>
    <w:p>
      <w:pPr>
        <w:snapToGrid w:val="0"/>
        <w:spacing w:before="120" w:beforeLines="50" w:after="50" w:line="520" w:lineRule="exact"/>
        <w:ind w:firstLine="4080" w:firstLineChars="1700"/>
        <w:rPr>
          <w:rFonts w:ascii="宋体"/>
          <w:color w:val="auto"/>
          <w:sz w:val="24"/>
          <w:szCs w:val="24"/>
          <w:highlight w:val="none"/>
        </w:rPr>
      </w:pPr>
    </w:p>
    <w:p>
      <w:pPr>
        <w:snapToGrid w:val="0"/>
        <w:spacing w:before="120" w:beforeLines="50" w:after="50" w:line="520" w:lineRule="exact"/>
        <w:ind w:firstLine="645"/>
        <w:jc w:val="center"/>
        <w:rPr>
          <w:rFonts w:ascii="宋体"/>
          <w:color w:val="auto"/>
          <w:sz w:val="24"/>
          <w:szCs w:val="24"/>
          <w:highlight w:val="none"/>
        </w:rPr>
      </w:pPr>
      <w:r>
        <w:rPr>
          <w:rFonts w:hint="eastAsia" w:ascii="宋体" w:hAnsi="宋体"/>
          <w:color w:val="auto"/>
          <w:sz w:val="24"/>
          <w:szCs w:val="24"/>
          <w:highlight w:val="none"/>
        </w:rPr>
        <w:t>年月日</w:t>
      </w:r>
    </w:p>
    <w:p>
      <w:pPr>
        <w:spacing w:line="520" w:lineRule="exact"/>
        <w:rPr>
          <w:rFonts w:ascii="宋体"/>
          <w:color w:val="auto"/>
          <w:sz w:val="24"/>
          <w:szCs w:val="24"/>
          <w:highlight w:val="none"/>
          <w:u w:val="single"/>
        </w:rPr>
      </w:pPr>
    </w:p>
    <w:p>
      <w:pPr>
        <w:spacing w:line="520" w:lineRule="exact"/>
        <w:rPr>
          <w:rFonts w:ascii="宋体"/>
          <w:b/>
          <w:color w:val="auto"/>
          <w:sz w:val="24"/>
          <w:szCs w:val="24"/>
          <w:highlight w:val="none"/>
        </w:rPr>
      </w:pPr>
      <w:r>
        <w:rPr>
          <w:rFonts w:hint="eastAsia" w:ascii="宋体" w:hAnsi="宋体"/>
          <w:color w:val="auto"/>
          <w:sz w:val="24"/>
          <w:szCs w:val="24"/>
          <w:highlight w:val="none"/>
        </w:rPr>
        <w:t>三、</w:t>
      </w:r>
      <w:r>
        <w:rPr>
          <w:rFonts w:hint="eastAsia" w:ascii="宋体" w:hAnsi="宋体"/>
          <w:b/>
          <w:color w:val="auto"/>
          <w:sz w:val="24"/>
          <w:szCs w:val="24"/>
          <w:highlight w:val="none"/>
          <w:lang w:val="en-US" w:eastAsia="zh-CN"/>
        </w:rPr>
        <w:t>磋商响应</w:t>
      </w:r>
      <w:r>
        <w:rPr>
          <w:rFonts w:hint="eastAsia" w:ascii="宋体" w:hAnsi="宋体"/>
          <w:b/>
          <w:color w:val="auto"/>
          <w:sz w:val="24"/>
          <w:szCs w:val="24"/>
          <w:highlight w:val="none"/>
        </w:rPr>
        <w:t>报价文件封面式样</w:t>
      </w:r>
    </w:p>
    <w:p>
      <w:pPr>
        <w:spacing w:line="520" w:lineRule="exact"/>
        <w:jc w:val="center"/>
        <w:rPr>
          <w:rFonts w:ascii="宋体"/>
          <w:b/>
          <w:color w:val="auto"/>
          <w:sz w:val="24"/>
          <w:szCs w:val="24"/>
          <w:highlight w:val="none"/>
        </w:rPr>
      </w:pPr>
    </w:p>
    <w:tbl>
      <w:tblPr>
        <w:tblStyle w:val="33"/>
        <w:tblW w:w="8742"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9" w:hRule="atLeast"/>
        </w:trPr>
        <w:tc>
          <w:tcPr>
            <w:tcW w:w="8742" w:type="dxa"/>
          </w:tcPr>
          <w:p>
            <w:pPr>
              <w:pStyle w:val="56"/>
              <w:pageBreakBefore w:val="0"/>
              <w:widowControl w:val="0"/>
              <w:numPr>
                <w:ilvl w:val="0"/>
                <w:numId w:val="0"/>
              </w:numPr>
              <w:tabs>
                <w:tab w:val="left" w:pos="420"/>
                <w:tab w:val="clear" w:pos="360"/>
                <w:tab w:val="clear" w:pos="1440"/>
              </w:tabs>
              <w:spacing w:before="480" w:line="520" w:lineRule="exact"/>
              <w:outlineLvl w:val="9"/>
              <w:rPr>
                <w:rFonts w:ascii="宋体" w:hAnsi="宋体" w:eastAsia="宋体"/>
                <w:color w:val="auto"/>
                <w:spacing w:val="0"/>
                <w:kern w:val="2"/>
                <w:sz w:val="24"/>
                <w:szCs w:val="24"/>
                <w:highlight w:val="none"/>
              </w:rPr>
            </w:pPr>
            <w:r>
              <w:rPr>
                <w:rFonts w:hint="eastAsia" w:ascii="宋体" w:hAnsi="宋体" w:eastAsia="宋体"/>
                <w:color w:val="auto"/>
                <w:spacing w:val="0"/>
                <w:kern w:val="2"/>
                <w:sz w:val="24"/>
                <w:szCs w:val="24"/>
                <w:highlight w:val="none"/>
              </w:rPr>
              <w:t>投标报价文件</w:t>
            </w:r>
          </w:p>
          <w:p>
            <w:pPr>
              <w:spacing w:line="520" w:lineRule="exact"/>
              <w:ind w:firstLine="588" w:firstLineChars="244"/>
              <w:rPr>
                <w:rFonts w:ascii="宋体"/>
                <w:b/>
                <w:color w:val="auto"/>
                <w:sz w:val="24"/>
                <w:szCs w:val="24"/>
                <w:highlight w:val="none"/>
              </w:rPr>
            </w:pPr>
          </w:p>
          <w:p>
            <w:pPr>
              <w:spacing w:line="520" w:lineRule="exact"/>
              <w:ind w:firstLine="472" w:firstLineChars="196"/>
              <w:rPr>
                <w:rFonts w:ascii="宋体"/>
                <w:b/>
                <w:color w:val="auto"/>
                <w:sz w:val="24"/>
                <w:szCs w:val="24"/>
                <w:highlight w:val="none"/>
                <w:u w:val="single"/>
              </w:rPr>
            </w:pPr>
            <w:r>
              <w:rPr>
                <w:rFonts w:hint="eastAsia" w:ascii="宋体" w:hAnsi="宋体"/>
                <w:b/>
                <w:color w:val="auto"/>
                <w:sz w:val="24"/>
                <w:szCs w:val="24"/>
                <w:highlight w:val="none"/>
              </w:rPr>
              <w:t>项目名称：</w:t>
            </w:r>
            <w:r>
              <w:rPr>
                <w:rFonts w:hint="eastAsia" w:ascii="宋体" w:hAnsi="宋体"/>
                <w:b/>
                <w:color w:val="auto"/>
                <w:sz w:val="24"/>
                <w:szCs w:val="24"/>
                <w:highlight w:val="none"/>
                <w:u w:val="single"/>
                <w:lang w:val="en-US" w:eastAsia="zh-CN"/>
              </w:rPr>
              <w:t xml:space="preserve">                                </w:t>
            </w:r>
          </w:p>
          <w:p>
            <w:pPr>
              <w:spacing w:line="520" w:lineRule="exact"/>
              <w:ind w:firstLine="472" w:firstLineChars="196"/>
              <w:rPr>
                <w:rFonts w:hint="eastAsia" w:ascii="宋体" w:hAnsi="宋体"/>
                <w:b/>
                <w:color w:val="auto"/>
                <w:sz w:val="24"/>
                <w:szCs w:val="24"/>
                <w:highlight w:val="none"/>
              </w:rPr>
            </w:pPr>
            <w:r>
              <w:rPr>
                <w:rFonts w:hint="eastAsia" w:ascii="宋体" w:hAnsi="宋体"/>
                <w:b/>
                <w:color w:val="auto"/>
                <w:sz w:val="24"/>
                <w:szCs w:val="24"/>
                <w:highlight w:val="none"/>
                <w:lang w:val="en-US" w:eastAsia="zh-CN"/>
              </w:rPr>
              <w:t>项目</w:t>
            </w:r>
            <w:r>
              <w:rPr>
                <w:rFonts w:hint="eastAsia" w:ascii="宋体" w:hAnsi="宋体"/>
                <w:b/>
                <w:color w:val="auto"/>
                <w:sz w:val="24"/>
                <w:szCs w:val="24"/>
                <w:highlight w:val="none"/>
              </w:rPr>
              <w:t>编号：</w:t>
            </w:r>
            <w:r>
              <w:rPr>
                <w:rFonts w:hint="eastAsia" w:ascii="宋体" w:hAnsi="宋体"/>
                <w:b/>
                <w:color w:val="auto"/>
                <w:sz w:val="24"/>
                <w:szCs w:val="24"/>
                <w:highlight w:val="none"/>
                <w:u w:val="single"/>
                <w:lang w:val="en-US" w:eastAsia="zh-CN"/>
              </w:rPr>
              <w:t xml:space="preserve">                                </w:t>
            </w:r>
          </w:p>
          <w:p>
            <w:pPr>
              <w:spacing w:line="520" w:lineRule="exact"/>
              <w:ind w:firstLine="472" w:firstLineChars="196"/>
              <w:rPr>
                <w:rFonts w:hint="eastAsia" w:ascii="宋体" w:hAnsi="宋体"/>
                <w:b/>
                <w:color w:val="auto"/>
                <w:sz w:val="24"/>
                <w:szCs w:val="24"/>
                <w:highlight w:val="none"/>
              </w:rPr>
            </w:pPr>
            <w:r>
              <w:rPr>
                <w:rFonts w:hint="eastAsia" w:ascii="宋体" w:hAnsi="宋体"/>
                <w:b/>
                <w:color w:val="auto"/>
                <w:sz w:val="24"/>
                <w:szCs w:val="24"/>
                <w:highlight w:val="none"/>
                <w:lang w:val="en-US" w:eastAsia="zh-CN"/>
              </w:rPr>
              <w:t>响应</w:t>
            </w:r>
            <w:r>
              <w:rPr>
                <w:rFonts w:hint="eastAsia" w:ascii="宋体" w:hAnsi="宋体"/>
                <w:b/>
                <w:color w:val="auto"/>
                <w:sz w:val="24"/>
                <w:szCs w:val="24"/>
                <w:highlight w:val="none"/>
              </w:rPr>
              <w:t>人名称：</w:t>
            </w:r>
            <w:bookmarkStart w:id="20" w:name="OLE_LINK12"/>
            <w:r>
              <w:rPr>
                <w:rFonts w:hint="eastAsia" w:ascii="宋体" w:hAnsi="宋体"/>
                <w:b/>
                <w:color w:val="auto"/>
                <w:sz w:val="24"/>
                <w:szCs w:val="24"/>
                <w:highlight w:val="none"/>
                <w:u w:val="single"/>
                <w:lang w:val="en-US" w:eastAsia="zh-CN"/>
              </w:rPr>
              <w:t xml:space="preserve">          </w:t>
            </w:r>
            <w:bookmarkEnd w:id="20"/>
            <w:r>
              <w:rPr>
                <w:rFonts w:hint="eastAsia" w:ascii="宋体" w:hAnsi="宋体"/>
                <w:b/>
                <w:color w:val="auto"/>
                <w:sz w:val="24"/>
                <w:szCs w:val="24"/>
                <w:highlight w:val="none"/>
                <w:u w:val="single"/>
                <w:lang w:val="en-US" w:eastAsia="zh-CN"/>
              </w:rPr>
              <w:t xml:space="preserve">         </w:t>
            </w:r>
            <w:r>
              <w:rPr>
                <w:rFonts w:hint="eastAsia" w:ascii="宋体" w:hAnsi="宋体"/>
                <w:b/>
                <w:color w:val="auto"/>
                <w:sz w:val="24"/>
                <w:szCs w:val="24"/>
                <w:highlight w:val="none"/>
              </w:rPr>
              <w:t>（加盖公章）</w:t>
            </w:r>
          </w:p>
          <w:p>
            <w:pPr>
              <w:spacing w:line="520" w:lineRule="exact"/>
              <w:ind w:firstLine="472" w:firstLineChars="196"/>
              <w:rPr>
                <w:rFonts w:hint="eastAsia" w:ascii="宋体" w:hAnsi="宋体"/>
                <w:b/>
                <w:color w:val="auto"/>
                <w:sz w:val="24"/>
                <w:szCs w:val="24"/>
                <w:highlight w:val="none"/>
              </w:rPr>
            </w:pPr>
            <w:r>
              <w:rPr>
                <w:rFonts w:hint="eastAsia" w:ascii="宋体" w:hAnsi="宋体"/>
                <w:b/>
                <w:color w:val="auto"/>
                <w:sz w:val="24"/>
                <w:szCs w:val="24"/>
                <w:highlight w:val="none"/>
                <w:lang w:val="en-US" w:eastAsia="zh-CN"/>
              </w:rPr>
              <w:t>响应</w:t>
            </w:r>
            <w:r>
              <w:rPr>
                <w:rFonts w:hint="eastAsia" w:ascii="宋体" w:hAnsi="宋体"/>
                <w:b/>
                <w:color w:val="auto"/>
                <w:sz w:val="24"/>
                <w:szCs w:val="24"/>
                <w:highlight w:val="none"/>
              </w:rPr>
              <w:t>人</w:t>
            </w:r>
            <w:r>
              <w:rPr>
                <w:rFonts w:hint="eastAsia" w:ascii="宋体" w:hAnsi="宋体"/>
                <w:b/>
                <w:color w:val="auto"/>
                <w:sz w:val="24"/>
                <w:szCs w:val="24"/>
                <w:highlight w:val="none"/>
                <w:lang w:val="en-US" w:eastAsia="zh-CN"/>
              </w:rPr>
              <w:t>地址</w:t>
            </w:r>
            <w:r>
              <w:rPr>
                <w:rFonts w:hint="eastAsia" w:ascii="宋体" w:hAnsi="宋体"/>
                <w:b/>
                <w:color w:val="auto"/>
                <w:sz w:val="24"/>
                <w:szCs w:val="24"/>
                <w:highlight w:val="none"/>
              </w:rPr>
              <w:t>：</w:t>
            </w:r>
            <w:bookmarkStart w:id="21" w:name="OLE_LINK13"/>
            <w:r>
              <w:rPr>
                <w:rFonts w:hint="eastAsia" w:ascii="宋体" w:hAnsi="宋体"/>
                <w:b/>
                <w:color w:val="auto"/>
                <w:sz w:val="24"/>
                <w:szCs w:val="24"/>
                <w:highlight w:val="none"/>
                <w:u w:val="single"/>
                <w:lang w:val="en-US" w:eastAsia="zh-CN"/>
              </w:rPr>
              <w:t xml:space="preserve">                     </w:t>
            </w:r>
            <w:bookmarkEnd w:id="21"/>
            <w:r>
              <w:rPr>
                <w:rFonts w:hint="eastAsia" w:ascii="宋体" w:hAnsi="宋体"/>
                <w:b/>
                <w:color w:val="auto"/>
                <w:sz w:val="24"/>
                <w:szCs w:val="24"/>
                <w:highlight w:val="none"/>
                <w:u w:val="single"/>
                <w:lang w:val="en-US" w:eastAsia="zh-CN"/>
              </w:rPr>
              <w:t xml:space="preserve">         </w:t>
            </w:r>
          </w:p>
        </w:tc>
      </w:tr>
    </w:tbl>
    <w:p>
      <w:pPr>
        <w:snapToGrid w:val="0"/>
        <w:spacing w:before="50" w:after="50" w:line="520" w:lineRule="exact"/>
        <w:rPr>
          <w:rFonts w:hint="eastAsia" w:ascii="宋体" w:hAnsi="宋体"/>
          <w:b/>
          <w:color w:val="auto"/>
          <w:sz w:val="24"/>
          <w:szCs w:val="24"/>
          <w:highlight w:val="none"/>
        </w:rPr>
      </w:pPr>
    </w:p>
    <w:p>
      <w:pPr>
        <w:snapToGrid w:val="0"/>
        <w:spacing w:before="50" w:after="50" w:line="520" w:lineRule="exact"/>
        <w:rPr>
          <w:rFonts w:ascii="宋体"/>
          <w:b/>
          <w:color w:val="auto"/>
          <w:sz w:val="24"/>
          <w:szCs w:val="24"/>
          <w:highlight w:val="none"/>
        </w:rPr>
      </w:pPr>
      <w:r>
        <w:rPr>
          <w:rFonts w:hint="eastAsia" w:ascii="宋体" w:hAnsi="宋体"/>
          <w:b/>
          <w:color w:val="auto"/>
          <w:sz w:val="24"/>
          <w:szCs w:val="24"/>
          <w:highlight w:val="none"/>
        </w:rPr>
        <w:t>四</w:t>
      </w:r>
      <w:r>
        <w:rPr>
          <w:rFonts w:hint="eastAsia" w:ascii="宋体" w:hAnsi="宋体"/>
          <w:b/>
          <w:color w:val="auto"/>
          <w:sz w:val="24"/>
          <w:szCs w:val="24"/>
          <w:highlight w:val="none"/>
          <w:lang w:eastAsia="zh-CN"/>
        </w:rPr>
        <w:t>、磋商报价一览表格式</w:t>
      </w:r>
    </w:p>
    <w:p>
      <w:pPr>
        <w:snapToGrid w:val="0"/>
        <w:spacing w:before="50" w:after="50" w:line="520" w:lineRule="exact"/>
        <w:jc w:val="center"/>
        <w:rPr>
          <w:rFonts w:hint="eastAsia" w:ascii="宋体" w:hAnsi="宋体"/>
          <w:b/>
          <w:color w:val="auto"/>
          <w:sz w:val="24"/>
          <w:szCs w:val="24"/>
          <w:highlight w:val="none"/>
        </w:rPr>
      </w:pPr>
      <w:r>
        <w:rPr>
          <w:rFonts w:hint="eastAsia" w:ascii="宋体" w:hAnsi="宋体"/>
          <w:b/>
          <w:kern w:val="10"/>
          <w:szCs w:val="21"/>
          <w:lang w:val="en-US" w:eastAsia="zh-CN"/>
        </w:rPr>
        <w:t>1、</w:t>
      </w:r>
      <w:r>
        <w:rPr>
          <w:rFonts w:ascii="宋体" w:hAnsi="宋体"/>
          <w:b/>
          <w:kern w:val="10"/>
          <w:szCs w:val="21"/>
        </w:rPr>
        <w:t>初次报价一览表</w:t>
      </w:r>
    </w:p>
    <w:p>
      <w:pPr>
        <w:snapToGrid w:val="0"/>
        <w:spacing w:before="50" w:after="50" w:line="520" w:lineRule="exact"/>
        <w:jc w:val="right"/>
        <w:rPr>
          <w:rFonts w:ascii="宋体"/>
          <w:b/>
          <w:color w:val="auto"/>
          <w:sz w:val="24"/>
          <w:szCs w:val="24"/>
          <w:highlight w:val="none"/>
        </w:rPr>
      </w:pPr>
      <w:r>
        <w:rPr>
          <w:rFonts w:hint="eastAsia" w:hAnsi="宋体" w:cs="宋体"/>
          <w:color w:val="auto"/>
          <w:sz w:val="24"/>
          <w:szCs w:val="24"/>
          <w:highlight w:val="none"/>
        </w:rPr>
        <w:t>金额</w:t>
      </w:r>
      <w:r>
        <w:rPr>
          <w:rFonts w:hint="eastAsia" w:ascii="宋体" w:hAnsi="宋体" w:cs="宋体"/>
          <w:color w:val="auto"/>
          <w:sz w:val="24"/>
          <w:szCs w:val="24"/>
          <w:highlight w:val="none"/>
        </w:rPr>
        <w:t>单位：</w:t>
      </w:r>
      <w:r>
        <w:rPr>
          <w:rFonts w:hint="eastAsia" w:hAnsi="宋体" w:cs="宋体"/>
          <w:color w:val="auto"/>
          <w:sz w:val="24"/>
          <w:szCs w:val="24"/>
          <w:highlight w:val="none"/>
        </w:rPr>
        <w:t>人民币（元</w:t>
      </w:r>
      <w:r>
        <w:rPr>
          <w:rFonts w:hint="eastAsia" w:hAnsi="宋体" w:cs="宋体"/>
          <w:color w:val="auto"/>
          <w:sz w:val="24"/>
          <w:szCs w:val="24"/>
          <w:highlight w:val="none"/>
          <w:lang w:eastAsia="zh-CN"/>
        </w:rPr>
        <w:t>）</w:t>
      </w:r>
    </w:p>
    <w:tbl>
      <w:tblPr>
        <w:tblStyle w:val="33"/>
        <w:tblpPr w:leftFromText="180" w:rightFromText="180" w:vertAnchor="text" w:horzAnchor="page" w:tblpX="1243" w:tblpY="368"/>
        <w:tblOverlap w:val="never"/>
        <w:tblW w:w="89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51"/>
        <w:gridCol w:w="72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1751" w:type="dxa"/>
            <w:vAlign w:val="center"/>
          </w:tcPr>
          <w:p>
            <w:pPr>
              <w:spacing w:before="240" w:after="240" w:line="44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项目名称</w:t>
            </w:r>
          </w:p>
        </w:tc>
        <w:tc>
          <w:tcPr>
            <w:tcW w:w="7202" w:type="dxa"/>
            <w:vAlign w:val="center"/>
          </w:tcPr>
          <w:p>
            <w:pPr>
              <w:spacing w:before="240" w:after="240" w:line="440" w:lineRule="exact"/>
              <w:jc w:val="center"/>
              <w:rPr>
                <w:rFonts w:hint="eastAsia" w:ascii="宋体" w:hAnsi="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25" w:hRule="atLeast"/>
        </w:trPr>
        <w:tc>
          <w:tcPr>
            <w:tcW w:w="1751" w:type="dxa"/>
            <w:vAlign w:val="center"/>
          </w:tcPr>
          <w:p>
            <w:pPr>
              <w:spacing w:before="240" w:after="240" w:line="440" w:lineRule="exact"/>
              <w:jc w:val="center"/>
              <w:rPr>
                <w:rFonts w:hint="eastAsia" w:ascii="宋体" w:hAnsi="宋体" w:cs="宋体"/>
                <w:color w:val="auto"/>
                <w:sz w:val="24"/>
                <w:szCs w:val="24"/>
                <w:highlight w:val="none"/>
              </w:rPr>
            </w:pPr>
            <w:r>
              <w:rPr>
                <w:rFonts w:hint="eastAsia" w:ascii="宋体" w:hAnsi="宋体"/>
                <w:color w:val="auto"/>
                <w:szCs w:val="21"/>
                <w:highlight w:val="none"/>
              </w:rPr>
              <w:t>投</w:t>
            </w:r>
            <w:r>
              <w:rPr>
                <w:rFonts w:hint="eastAsia" w:ascii="宋体" w:hAnsi="宋体" w:cs="宋体"/>
                <w:color w:val="auto"/>
                <w:szCs w:val="21"/>
                <w:highlight w:val="none"/>
              </w:rPr>
              <w:t>标</w:t>
            </w:r>
            <w:r>
              <w:rPr>
                <w:rFonts w:hint="eastAsia" w:ascii="宋体" w:hAnsi="宋体"/>
                <w:color w:val="auto"/>
                <w:szCs w:val="21"/>
                <w:highlight w:val="none"/>
              </w:rPr>
              <w:t>人名称</w:t>
            </w:r>
          </w:p>
        </w:tc>
        <w:tc>
          <w:tcPr>
            <w:tcW w:w="7202" w:type="dxa"/>
            <w:vAlign w:val="center"/>
          </w:tcPr>
          <w:p>
            <w:pPr>
              <w:spacing w:before="240" w:after="240" w:line="440" w:lineRule="exact"/>
              <w:jc w:val="center"/>
              <w:rPr>
                <w:rFonts w:hint="eastAsia" w:ascii="宋体" w:hAnsi="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85" w:hRule="atLeast"/>
        </w:trPr>
        <w:tc>
          <w:tcPr>
            <w:tcW w:w="1751" w:type="dxa"/>
            <w:vAlign w:val="center"/>
          </w:tcPr>
          <w:p>
            <w:pPr>
              <w:spacing w:before="240" w:after="240" w:line="44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投标报价</w:t>
            </w:r>
          </w:p>
        </w:tc>
        <w:tc>
          <w:tcPr>
            <w:tcW w:w="7202" w:type="dxa"/>
            <w:vAlign w:val="center"/>
          </w:tcPr>
          <w:p>
            <w:pPr>
              <w:spacing w:before="240" w:after="240" w:line="240" w:lineRule="auto"/>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电网电价优惠折扣的光伏电价</w:t>
            </w:r>
            <w:r>
              <w:rPr>
                <w:rFonts w:hint="eastAsia" w:ascii="宋体" w:hAnsi="宋体" w:eastAsia="宋体" w:cs="宋体"/>
                <w:color w:val="auto"/>
                <w:sz w:val="24"/>
                <w:szCs w:val="24"/>
                <w:highlight w:val="none"/>
                <w:lang w:eastAsia="zh-CN"/>
              </w:rPr>
              <w:t>：</w:t>
            </w:r>
          </w:p>
          <w:p>
            <w:pPr>
              <w:spacing w:before="240" w:after="240" w:line="240" w:lineRule="auto"/>
              <w:jc w:val="both"/>
              <w:rPr>
                <w:rFonts w:hint="default" w:ascii="宋体" w:hAnsi="宋体" w:eastAsia="宋体"/>
                <w:color w:val="auto"/>
                <w:szCs w:val="21"/>
                <w:highlight w:val="none"/>
                <w:lang w:val="en-US" w:eastAsia="zh-CN"/>
              </w:rPr>
            </w:pPr>
            <w:r>
              <w:rPr>
                <w:rFonts w:hint="eastAsia" w:ascii="宋体" w:hAnsi="宋体"/>
                <w:color w:val="auto"/>
                <w:szCs w:val="21"/>
                <w:highlight w:val="none"/>
              </w:rPr>
              <w:t>（小写）￥</w:t>
            </w:r>
            <w:r>
              <w:rPr>
                <w:rFonts w:hint="eastAsia" w:ascii="宋体" w:hAnsi="宋体"/>
                <w:color w:val="auto"/>
                <w:szCs w:val="21"/>
                <w:highlight w:val="none"/>
                <w:u w:val="single"/>
              </w:rPr>
              <w:t xml:space="preserve">           </w:t>
            </w:r>
            <w:r>
              <w:rPr>
                <w:rFonts w:hint="eastAsia" w:ascii="宋体" w:hAnsi="宋体"/>
                <w:color w:val="auto"/>
                <w:szCs w:val="21"/>
                <w:highlight w:val="none"/>
              </w:rPr>
              <w:t>元</w:t>
            </w:r>
            <w:r>
              <w:rPr>
                <w:rFonts w:hint="eastAsia" w:ascii="宋体" w:hAnsi="宋体"/>
                <w:color w:val="auto"/>
                <w:szCs w:val="21"/>
                <w:highlight w:val="none"/>
                <w:lang w:val="en-US" w:eastAsia="zh-CN"/>
              </w:rPr>
              <w:t>/度</w:t>
            </w:r>
          </w:p>
          <w:p>
            <w:pPr>
              <w:spacing w:line="240" w:lineRule="auto"/>
              <w:rPr>
                <w:rFonts w:hint="eastAsia" w:ascii="宋体" w:hAnsi="宋体" w:cs="宋体"/>
                <w:color w:val="auto"/>
                <w:sz w:val="24"/>
                <w:szCs w:val="24"/>
                <w:highlight w:val="none"/>
              </w:rPr>
            </w:pPr>
            <w:r>
              <w:rPr>
                <w:rFonts w:hint="eastAsia" w:ascii="宋体" w:hAnsi="宋体"/>
                <w:color w:val="auto"/>
                <w:szCs w:val="21"/>
                <w:highlight w:val="none"/>
              </w:rPr>
              <w:t>（大写）人民币</w:t>
            </w:r>
            <w:r>
              <w:rPr>
                <w:rFonts w:hint="eastAsia" w:ascii="宋体" w:hAnsi="宋体"/>
                <w:color w:val="auto"/>
                <w:szCs w:val="21"/>
                <w:highlight w:val="none"/>
                <w:lang w:val="en-US" w:eastAsia="zh-CN"/>
              </w:rPr>
              <w:t>每度</w:t>
            </w:r>
            <w:r>
              <w:rPr>
                <w:rFonts w:hint="eastAsia" w:ascii="宋体" w:hAnsi="宋体"/>
                <w:color w:val="auto"/>
                <w:szCs w:val="21"/>
                <w:highlight w:val="none"/>
                <w:u w:val="single"/>
              </w:rPr>
              <w:t xml:space="preserve">            </w:t>
            </w:r>
            <w:r>
              <w:rPr>
                <w:rFonts w:hint="eastAsia" w:ascii="宋体" w:hAnsi="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93" w:hRule="atLeast"/>
        </w:trPr>
        <w:tc>
          <w:tcPr>
            <w:tcW w:w="1751" w:type="dxa"/>
            <w:vAlign w:val="center"/>
          </w:tcPr>
          <w:p>
            <w:pPr>
              <w:spacing w:before="240" w:after="240" w:line="440" w:lineRule="exact"/>
              <w:jc w:val="center"/>
              <w:rPr>
                <w:rFonts w:hint="eastAsia" w:ascii="宋体" w:hAnsi="宋体" w:cs="宋体"/>
                <w:color w:val="auto"/>
                <w:sz w:val="24"/>
                <w:szCs w:val="24"/>
                <w:highlight w:val="none"/>
              </w:rPr>
            </w:pPr>
            <w:r>
              <w:rPr>
                <w:rFonts w:hint="eastAsia" w:ascii="宋体" w:hAnsi="宋体" w:cs="宋体"/>
                <w:color w:val="auto"/>
                <w:highlight w:val="none"/>
                <w:lang w:val="en-US" w:eastAsia="zh-CN"/>
              </w:rPr>
              <w:t>施工</w:t>
            </w:r>
            <w:r>
              <w:rPr>
                <w:rFonts w:hint="eastAsia" w:ascii="宋体" w:hAnsi="宋体" w:cs="宋体"/>
                <w:color w:val="auto"/>
                <w:highlight w:val="none"/>
              </w:rPr>
              <w:t>工期</w:t>
            </w:r>
          </w:p>
        </w:tc>
        <w:tc>
          <w:tcPr>
            <w:tcW w:w="7202" w:type="dxa"/>
            <w:vAlign w:val="center"/>
          </w:tcPr>
          <w:p>
            <w:pPr>
              <w:spacing w:before="240" w:after="240" w:line="440" w:lineRule="exact"/>
              <w:rPr>
                <w:rFonts w:hint="default" w:ascii="宋体" w:hAnsi="宋体" w:eastAsia="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47" w:hRule="atLeast"/>
        </w:trPr>
        <w:tc>
          <w:tcPr>
            <w:tcW w:w="1751" w:type="dxa"/>
            <w:vAlign w:val="center"/>
          </w:tcPr>
          <w:p>
            <w:pPr>
              <w:spacing w:before="240" w:after="240" w:line="440" w:lineRule="exact"/>
              <w:jc w:val="center"/>
              <w:rPr>
                <w:rFonts w:hint="eastAsia" w:ascii="宋体" w:hAnsi="宋体" w:cs="宋体"/>
                <w:color w:val="auto"/>
                <w:sz w:val="24"/>
                <w:szCs w:val="24"/>
                <w:highlight w:val="none"/>
              </w:rPr>
            </w:pPr>
            <w:r>
              <w:rPr>
                <w:rFonts w:hint="eastAsia" w:ascii="宋体" w:hAnsi="宋体" w:cs="宋体"/>
                <w:color w:val="auto"/>
                <w:highlight w:val="none"/>
              </w:rPr>
              <w:t>运营期</w:t>
            </w:r>
          </w:p>
        </w:tc>
        <w:tc>
          <w:tcPr>
            <w:tcW w:w="7202" w:type="dxa"/>
            <w:vAlign w:val="center"/>
          </w:tcPr>
          <w:p>
            <w:pPr>
              <w:spacing w:before="240" w:after="240" w:line="440" w:lineRule="exact"/>
              <w:rPr>
                <w:rFonts w:hint="default" w:ascii="宋体" w:hAnsi="宋体" w:eastAsia="宋体" w:cs="宋体"/>
                <w:color w:val="auto"/>
                <w:sz w:val="24"/>
                <w:szCs w:val="24"/>
                <w:highlight w:val="none"/>
                <w:u w:val="single"/>
                <w:lang w:val="en-US" w:eastAsia="zh-CN"/>
              </w:rPr>
            </w:pP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年</w:t>
            </w:r>
          </w:p>
        </w:tc>
      </w:tr>
    </w:tbl>
    <w:p>
      <w:pPr>
        <w:snapToGrid w:val="0"/>
        <w:spacing w:before="50" w:after="50" w:line="520" w:lineRule="exact"/>
        <w:ind w:left="-3" w:leftChars="-72" w:right="-817" w:rightChars="-389" w:hanging="148" w:hangingChars="62"/>
        <w:rPr>
          <w:rFonts w:ascii="宋体"/>
          <w:color w:val="auto"/>
          <w:sz w:val="24"/>
          <w:szCs w:val="24"/>
          <w:highlight w:val="none"/>
        </w:rPr>
      </w:pPr>
      <w:r>
        <w:rPr>
          <w:rFonts w:hint="eastAsia" w:ascii="宋体" w:hAnsi="宋体"/>
          <w:color w:val="auto"/>
          <w:sz w:val="24"/>
          <w:szCs w:val="24"/>
          <w:highlight w:val="none"/>
        </w:rPr>
        <w:t>法定代表人（签字或盖章）：</w:t>
      </w:r>
    </w:p>
    <w:p>
      <w:pPr>
        <w:snapToGrid w:val="0"/>
        <w:spacing w:before="50" w:after="50" w:line="520" w:lineRule="exact"/>
        <w:ind w:left="-3" w:leftChars="-72" w:right="-817" w:rightChars="-389" w:hanging="148" w:hangingChars="62"/>
        <w:rPr>
          <w:rFonts w:ascii="宋体"/>
          <w:color w:val="auto"/>
          <w:sz w:val="24"/>
          <w:szCs w:val="24"/>
          <w:highlight w:val="none"/>
        </w:rPr>
      </w:pPr>
      <w:r>
        <w:rPr>
          <w:rFonts w:hint="eastAsia" w:ascii="宋体" w:hAnsi="宋体"/>
          <w:color w:val="auto"/>
          <w:sz w:val="24"/>
          <w:szCs w:val="24"/>
          <w:highlight w:val="none"/>
        </w:rPr>
        <w:t>授权代表（签字或盖章）：</w:t>
      </w:r>
    </w:p>
    <w:p>
      <w:pPr>
        <w:snapToGrid w:val="0"/>
        <w:spacing w:before="50" w:after="50" w:line="520" w:lineRule="exact"/>
        <w:ind w:left="-3" w:leftChars="-72" w:right="-817" w:rightChars="-389" w:hanging="148" w:hangingChars="62"/>
        <w:rPr>
          <w:rFonts w:hint="eastAsia" w:ascii="宋体" w:hAnsi="宋体"/>
          <w:color w:val="auto"/>
          <w:sz w:val="24"/>
          <w:szCs w:val="24"/>
          <w:highlight w:val="none"/>
        </w:rPr>
      </w:pPr>
      <w:r>
        <w:rPr>
          <w:rFonts w:hint="eastAsia" w:ascii="宋体" w:hAnsi="宋体"/>
          <w:color w:val="auto"/>
          <w:sz w:val="24"/>
          <w:szCs w:val="24"/>
          <w:highlight w:val="none"/>
        </w:rPr>
        <w:t>投标人名称（盖章）：</w:t>
      </w:r>
    </w:p>
    <w:p>
      <w:pPr>
        <w:snapToGrid w:val="0"/>
        <w:spacing w:before="50" w:after="50" w:line="520" w:lineRule="exact"/>
        <w:ind w:left="-3" w:leftChars="-72" w:right="-817" w:rightChars="-389" w:hanging="148" w:hangingChars="62"/>
        <w:rPr>
          <w:rFonts w:hint="eastAsia" w:ascii="宋体" w:hAnsi="宋体"/>
          <w:color w:val="auto"/>
          <w:sz w:val="24"/>
          <w:szCs w:val="24"/>
          <w:highlight w:val="none"/>
        </w:rPr>
      </w:pPr>
      <w:r>
        <w:rPr>
          <w:rFonts w:hint="eastAsia" w:ascii="宋体" w:hAnsi="宋体"/>
          <w:color w:val="auto"/>
          <w:sz w:val="24"/>
          <w:szCs w:val="24"/>
          <w:highlight w:val="none"/>
        </w:rPr>
        <w:t>日期：</w:t>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日</w:t>
      </w:r>
    </w:p>
    <w:p>
      <w:pPr>
        <w:snapToGrid w:val="0"/>
        <w:spacing w:before="50" w:after="50" w:line="520" w:lineRule="exact"/>
        <w:ind w:left="-3" w:leftChars="-72" w:right="-817" w:rightChars="-389" w:hanging="148" w:hangingChars="62"/>
        <w:rPr>
          <w:rFonts w:hint="eastAsia" w:ascii="宋体" w:hAnsi="宋体"/>
          <w:color w:val="auto"/>
          <w:sz w:val="24"/>
          <w:szCs w:val="24"/>
          <w:highlight w:val="none"/>
        </w:rPr>
      </w:pPr>
      <w:r>
        <w:rPr>
          <w:rFonts w:hint="eastAsia" w:ascii="宋体" w:hAnsi="宋体"/>
          <w:color w:val="auto"/>
          <w:sz w:val="24"/>
          <w:szCs w:val="24"/>
          <w:highlight w:val="none"/>
        </w:rPr>
        <w:br w:type="page"/>
      </w:r>
    </w:p>
    <w:p>
      <w:pPr>
        <w:snapToGrid w:val="0"/>
        <w:spacing w:before="50" w:after="50" w:line="520" w:lineRule="exact"/>
        <w:jc w:val="center"/>
        <w:rPr>
          <w:rFonts w:hint="eastAsia" w:ascii="宋体" w:hAnsi="宋体"/>
          <w:b/>
          <w:color w:val="auto"/>
          <w:sz w:val="24"/>
          <w:szCs w:val="24"/>
          <w:highlight w:val="none"/>
        </w:rPr>
      </w:pPr>
      <w:r>
        <w:rPr>
          <w:rFonts w:hint="eastAsia" w:ascii="宋体" w:hAnsi="宋体"/>
          <w:b/>
          <w:kern w:val="10"/>
          <w:szCs w:val="21"/>
          <w:lang w:val="en-US" w:eastAsia="zh-CN"/>
        </w:rPr>
        <w:t>2、最终</w:t>
      </w:r>
      <w:r>
        <w:rPr>
          <w:rFonts w:ascii="宋体" w:hAnsi="宋体"/>
          <w:b/>
          <w:kern w:val="10"/>
          <w:szCs w:val="21"/>
        </w:rPr>
        <w:t>报价一览表</w:t>
      </w:r>
    </w:p>
    <w:p>
      <w:pPr>
        <w:snapToGrid w:val="0"/>
        <w:spacing w:before="50" w:after="50" w:line="520" w:lineRule="exact"/>
        <w:ind w:left="-3" w:leftChars="-72" w:right="-817" w:rightChars="-389" w:hanging="148" w:hangingChars="62"/>
        <w:rPr>
          <w:rFonts w:hint="eastAsia" w:ascii="宋体" w:hAnsi="宋体"/>
          <w:color w:val="auto"/>
          <w:sz w:val="24"/>
          <w:szCs w:val="24"/>
          <w:highlight w:val="none"/>
        </w:rPr>
      </w:pPr>
    </w:p>
    <w:p>
      <w:pPr>
        <w:snapToGrid w:val="0"/>
        <w:spacing w:before="50" w:after="50" w:line="520" w:lineRule="exact"/>
        <w:jc w:val="right"/>
        <w:rPr>
          <w:rFonts w:ascii="宋体"/>
          <w:b/>
          <w:color w:val="auto"/>
          <w:sz w:val="24"/>
          <w:szCs w:val="24"/>
          <w:highlight w:val="none"/>
        </w:rPr>
      </w:pPr>
      <w:r>
        <w:rPr>
          <w:rFonts w:hint="eastAsia" w:hAnsi="宋体" w:cs="宋体"/>
          <w:color w:val="auto"/>
          <w:sz w:val="24"/>
          <w:szCs w:val="24"/>
          <w:highlight w:val="none"/>
        </w:rPr>
        <w:t>金额</w:t>
      </w:r>
      <w:r>
        <w:rPr>
          <w:rFonts w:hint="eastAsia" w:ascii="宋体" w:hAnsi="宋体" w:cs="宋体"/>
          <w:color w:val="auto"/>
          <w:sz w:val="24"/>
          <w:szCs w:val="24"/>
          <w:highlight w:val="none"/>
        </w:rPr>
        <w:t>单位：</w:t>
      </w:r>
      <w:r>
        <w:rPr>
          <w:rFonts w:hint="eastAsia" w:hAnsi="宋体" w:cs="宋体"/>
          <w:color w:val="auto"/>
          <w:sz w:val="24"/>
          <w:szCs w:val="24"/>
          <w:highlight w:val="none"/>
        </w:rPr>
        <w:t>人民币（元</w:t>
      </w:r>
      <w:r>
        <w:rPr>
          <w:rFonts w:hint="eastAsia" w:hAnsi="宋体" w:cs="宋体"/>
          <w:color w:val="auto"/>
          <w:sz w:val="24"/>
          <w:szCs w:val="24"/>
          <w:highlight w:val="none"/>
          <w:lang w:eastAsia="zh-CN"/>
        </w:rPr>
        <w:t>）</w:t>
      </w:r>
    </w:p>
    <w:tbl>
      <w:tblPr>
        <w:tblStyle w:val="33"/>
        <w:tblpPr w:leftFromText="180" w:rightFromText="180" w:vertAnchor="text" w:horzAnchor="page" w:tblpX="1243" w:tblpY="368"/>
        <w:tblOverlap w:val="never"/>
        <w:tblW w:w="89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51"/>
        <w:gridCol w:w="72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1751" w:type="dxa"/>
            <w:vAlign w:val="center"/>
          </w:tcPr>
          <w:p>
            <w:pPr>
              <w:spacing w:before="240" w:after="240" w:line="44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项目名称</w:t>
            </w:r>
          </w:p>
        </w:tc>
        <w:tc>
          <w:tcPr>
            <w:tcW w:w="7202" w:type="dxa"/>
            <w:vAlign w:val="center"/>
          </w:tcPr>
          <w:p>
            <w:pPr>
              <w:spacing w:before="240" w:after="240" w:line="440" w:lineRule="exact"/>
              <w:jc w:val="center"/>
              <w:rPr>
                <w:rFonts w:hint="eastAsia" w:ascii="宋体" w:hAnsi="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25" w:hRule="atLeast"/>
        </w:trPr>
        <w:tc>
          <w:tcPr>
            <w:tcW w:w="1751" w:type="dxa"/>
            <w:vAlign w:val="center"/>
          </w:tcPr>
          <w:p>
            <w:pPr>
              <w:spacing w:before="240" w:after="240" w:line="440" w:lineRule="exact"/>
              <w:jc w:val="center"/>
              <w:rPr>
                <w:rFonts w:hint="eastAsia" w:ascii="宋体" w:hAnsi="宋体" w:cs="宋体"/>
                <w:color w:val="auto"/>
                <w:sz w:val="24"/>
                <w:szCs w:val="24"/>
                <w:highlight w:val="none"/>
              </w:rPr>
            </w:pPr>
            <w:r>
              <w:rPr>
                <w:rFonts w:hint="eastAsia" w:ascii="宋体" w:hAnsi="宋体"/>
                <w:color w:val="auto"/>
                <w:szCs w:val="21"/>
                <w:highlight w:val="none"/>
              </w:rPr>
              <w:t>投</w:t>
            </w:r>
            <w:r>
              <w:rPr>
                <w:rFonts w:hint="eastAsia" w:ascii="宋体" w:hAnsi="宋体" w:cs="宋体"/>
                <w:color w:val="auto"/>
                <w:szCs w:val="21"/>
                <w:highlight w:val="none"/>
              </w:rPr>
              <w:t>标</w:t>
            </w:r>
            <w:r>
              <w:rPr>
                <w:rFonts w:hint="eastAsia" w:ascii="宋体" w:hAnsi="宋体"/>
                <w:color w:val="auto"/>
                <w:szCs w:val="21"/>
                <w:highlight w:val="none"/>
              </w:rPr>
              <w:t>人名称</w:t>
            </w:r>
          </w:p>
        </w:tc>
        <w:tc>
          <w:tcPr>
            <w:tcW w:w="7202" w:type="dxa"/>
            <w:vAlign w:val="center"/>
          </w:tcPr>
          <w:p>
            <w:pPr>
              <w:spacing w:before="240" w:after="240" w:line="440" w:lineRule="exact"/>
              <w:jc w:val="center"/>
              <w:rPr>
                <w:rFonts w:hint="eastAsia" w:ascii="宋体" w:hAnsi="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85" w:hRule="atLeast"/>
        </w:trPr>
        <w:tc>
          <w:tcPr>
            <w:tcW w:w="1751" w:type="dxa"/>
            <w:vAlign w:val="center"/>
          </w:tcPr>
          <w:p>
            <w:pPr>
              <w:spacing w:before="240" w:after="240" w:line="44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投标报价</w:t>
            </w:r>
          </w:p>
        </w:tc>
        <w:tc>
          <w:tcPr>
            <w:tcW w:w="7202" w:type="dxa"/>
            <w:vAlign w:val="center"/>
          </w:tcPr>
          <w:p>
            <w:pPr>
              <w:spacing w:before="240" w:after="240" w:line="240" w:lineRule="auto"/>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电网电价优惠折扣的光伏电价</w:t>
            </w:r>
            <w:r>
              <w:rPr>
                <w:rFonts w:hint="eastAsia" w:ascii="宋体" w:hAnsi="宋体" w:eastAsia="宋体" w:cs="宋体"/>
                <w:color w:val="auto"/>
                <w:sz w:val="24"/>
                <w:szCs w:val="24"/>
                <w:highlight w:val="none"/>
                <w:lang w:eastAsia="zh-CN"/>
              </w:rPr>
              <w:t>：</w:t>
            </w:r>
          </w:p>
          <w:p>
            <w:pPr>
              <w:spacing w:before="240" w:after="240" w:line="240" w:lineRule="auto"/>
              <w:jc w:val="both"/>
              <w:rPr>
                <w:rFonts w:hint="default" w:ascii="宋体" w:hAnsi="宋体" w:eastAsia="宋体"/>
                <w:color w:val="auto"/>
                <w:szCs w:val="21"/>
                <w:highlight w:val="none"/>
                <w:lang w:val="en-US" w:eastAsia="zh-CN"/>
              </w:rPr>
            </w:pPr>
            <w:r>
              <w:rPr>
                <w:rFonts w:hint="eastAsia" w:ascii="宋体" w:hAnsi="宋体"/>
                <w:color w:val="auto"/>
                <w:szCs w:val="21"/>
                <w:highlight w:val="none"/>
              </w:rPr>
              <w:t>（小写）￥</w:t>
            </w:r>
            <w:r>
              <w:rPr>
                <w:rFonts w:hint="eastAsia" w:ascii="宋体" w:hAnsi="宋体"/>
                <w:color w:val="auto"/>
                <w:szCs w:val="21"/>
                <w:highlight w:val="none"/>
                <w:u w:val="single"/>
              </w:rPr>
              <w:t xml:space="preserve">           </w:t>
            </w:r>
            <w:r>
              <w:rPr>
                <w:rFonts w:hint="eastAsia" w:ascii="宋体" w:hAnsi="宋体"/>
                <w:color w:val="auto"/>
                <w:szCs w:val="21"/>
                <w:highlight w:val="none"/>
              </w:rPr>
              <w:t>元</w:t>
            </w:r>
            <w:r>
              <w:rPr>
                <w:rFonts w:hint="eastAsia" w:ascii="宋体" w:hAnsi="宋体"/>
                <w:color w:val="auto"/>
                <w:szCs w:val="21"/>
                <w:highlight w:val="none"/>
                <w:lang w:val="en-US" w:eastAsia="zh-CN"/>
              </w:rPr>
              <w:t>/度</w:t>
            </w:r>
          </w:p>
          <w:p>
            <w:pPr>
              <w:spacing w:line="240" w:lineRule="auto"/>
              <w:rPr>
                <w:rFonts w:hint="eastAsia" w:ascii="宋体" w:hAnsi="宋体" w:cs="宋体"/>
                <w:color w:val="auto"/>
                <w:sz w:val="24"/>
                <w:szCs w:val="24"/>
                <w:highlight w:val="none"/>
              </w:rPr>
            </w:pPr>
            <w:r>
              <w:rPr>
                <w:rFonts w:hint="eastAsia" w:ascii="宋体" w:hAnsi="宋体"/>
                <w:color w:val="auto"/>
                <w:szCs w:val="21"/>
                <w:highlight w:val="none"/>
              </w:rPr>
              <w:t>（大写）人民币</w:t>
            </w:r>
            <w:r>
              <w:rPr>
                <w:rFonts w:hint="eastAsia" w:ascii="宋体" w:hAnsi="宋体"/>
                <w:color w:val="auto"/>
                <w:szCs w:val="21"/>
                <w:highlight w:val="none"/>
                <w:lang w:val="en-US" w:eastAsia="zh-CN"/>
              </w:rPr>
              <w:t>每度</w:t>
            </w:r>
            <w:r>
              <w:rPr>
                <w:rFonts w:hint="eastAsia" w:ascii="宋体" w:hAnsi="宋体"/>
                <w:color w:val="auto"/>
                <w:szCs w:val="21"/>
                <w:highlight w:val="none"/>
                <w:u w:val="single"/>
              </w:rPr>
              <w:t xml:space="preserve">            </w:t>
            </w:r>
            <w:r>
              <w:rPr>
                <w:rFonts w:hint="eastAsia" w:ascii="宋体" w:hAnsi="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93" w:hRule="atLeast"/>
        </w:trPr>
        <w:tc>
          <w:tcPr>
            <w:tcW w:w="1751" w:type="dxa"/>
            <w:vAlign w:val="center"/>
          </w:tcPr>
          <w:p>
            <w:pPr>
              <w:spacing w:before="240" w:after="240" w:line="440" w:lineRule="exact"/>
              <w:jc w:val="center"/>
              <w:rPr>
                <w:rFonts w:hint="eastAsia" w:ascii="宋体" w:hAnsi="宋体" w:cs="宋体"/>
                <w:color w:val="auto"/>
                <w:sz w:val="24"/>
                <w:szCs w:val="24"/>
                <w:highlight w:val="none"/>
              </w:rPr>
            </w:pPr>
            <w:r>
              <w:rPr>
                <w:rFonts w:hint="eastAsia" w:ascii="宋体" w:hAnsi="宋体" w:cs="宋体"/>
                <w:color w:val="auto"/>
                <w:highlight w:val="none"/>
                <w:lang w:val="en-US" w:eastAsia="zh-CN"/>
              </w:rPr>
              <w:t>施工</w:t>
            </w:r>
            <w:r>
              <w:rPr>
                <w:rFonts w:hint="eastAsia" w:ascii="宋体" w:hAnsi="宋体" w:cs="宋体"/>
                <w:color w:val="auto"/>
                <w:highlight w:val="none"/>
              </w:rPr>
              <w:t>工期</w:t>
            </w:r>
          </w:p>
        </w:tc>
        <w:tc>
          <w:tcPr>
            <w:tcW w:w="7202" w:type="dxa"/>
            <w:vAlign w:val="center"/>
          </w:tcPr>
          <w:p>
            <w:pPr>
              <w:spacing w:before="240" w:after="240" w:line="440" w:lineRule="exact"/>
              <w:rPr>
                <w:rFonts w:hint="default" w:ascii="宋体" w:hAnsi="宋体" w:eastAsia="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47" w:hRule="atLeast"/>
        </w:trPr>
        <w:tc>
          <w:tcPr>
            <w:tcW w:w="1751" w:type="dxa"/>
            <w:vAlign w:val="center"/>
          </w:tcPr>
          <w:p>
            <w:pPr>
              <w:spacing w:before="240" w:after="240" w:line="440" w:lineRule="exact"/>
              <w:jc w:val="center"/>
              <w:rPr>
                <w:rFonts w:hint="eastAsia" w:ascii="宋体" w:hAnsi="宋体" w:cs="宋体"/>
                <w:color w:val="auto"/>
                <w:sz w:val="24"/>
                <w:szCs w:val="24"/>
                <w:highlight w:val="none"/>
              </w:rPr>
            </w:pPr>
            <w:r>
              <w:rPr>
                <w:rFonts w:hint="eastAsia" w:ascii="宋体" w:hAnsi="宋体" w:cs="宋体"/>
                <w:color w:val="auto"/>
                <w:highlight w:val="none"/>
              </w:rPr>
              <w:t>运营期</w:t>
            </w:r>
          </w:p>
        </w:tc>
        <w:tc>
          <w:tcPr>
            <w:tcW w:w="7202" w:type="dxa"/>
            <w:vAlign w:val="center"/>
          </w:tcPr>
          <w:p>
            <w:pPr>
              <w:spacing w:before="240" w:after="240" w:line="440" w:lineRule="exact"/>
              <w:rPr>
                <w:rFonts w:hint="default" w:ascii="宋体" w:hAnsi="宋体" w:eastAsia="宋体" w:cs="宋体"/>
                <w:color w:val="auto"/>
                <w:sz w:val="24"/>
                <w:szCs w:val="24"/>
                <w:highlight w:val="none"/>
                <w:u w:val="single"/>
                <w:lang w:val="en-US" w:eastAsia="zh-CN"/>
              </w:rPr>
            </w:pP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年</w:t>
            </w:r>
          </w:p>
        </w:tc>
      </w:tr>
    </w:tbl>
    <w:p>
      <w:pPr>
        <w:snapToGrid w:val="0"/>
        <w:spacing w:before="50" w:after="50" w:line="520" w:lineRule="exact"/>
        <w:ind w:left="-3" w:leftChars="-72" w:right="-817" w:rightChars="-389" w:hanging="148" w:hangingChars="62"/>
        <w:rPr>
          <w:rFonts w:ascii="宋体"/>
          <w:color w:val="auto"/>
          <w:sz w:val="24"/>
          <w:szCs w:val="24"/>
          <w:highlight w:val="none"/>
        </w:rPr>
      </w:pPr>
      <w:r>
        <w:rPr>
          <w:rFonts w:hint="eastAsia" w:ascii="宋体" w:hAnsi="宋体"/>
          <w:color w:val="auto"/>
          <w:sz w:val="24"/>
          <w:szCs w:val="24"/>
          <w:highlight w:val="none"/>
        </w:rPr>
        <w:t>法定代表人（签字或盖章）：</w:t>
      </w:r>
    </w:p>
    <w:p>
      <w:pPr>
        <w:snapToGrid w:val="0"/>
        <w:spacing w:before="50" w:after="50" w:line="520" w:lineRule="exact"/>
        <w:ind w:left="-3" w:leftChars="-72" w:right="-817" w:rightChars="-389" w:hanging="148" w:hangingChars="62"/>
        <w:rPr>
          <w:rFonts w:ascii="宋体"/>
          <w:color w:val="auto"/>
          <w:sz w:val="24"/>
          <w:szCs w:val="24"/>
          <w:highlight w:val="none"/>
        </w:rPr>
      </w:pPr>
      <w:r>
        <w:rPr>
          <w:rFonts w:hint="eastAsia" w:ascii="宋体" w:hAnsi="宋体"/>
          <w:color w:val="auto"/>
          <w:sz w:val="24"/>
          <w:szCs w:val="24"/>
          <w:highlight w:val="none"/>
        </w:rPr>
        <w:t>授权代表（签字或盖章）：</w:t>
      </w:r>
    </w:p>
    <w:p>
      <w:pPr>
        <w:snapToGrid w:val="0"/>
        <w:spacing w:before="50" w:after="50" w:line="520" w:lineRule="exact"/>
        <w:ind w:left="-3" w:leftChars="-72" w:right="-817" w:rightChars="-389" w:hanging="148" w:hangingChars="62"/>
        <w:rPr>
          <w:rFonts w:hint="eastAsia" w:ascii="宋体" w:hAnsi="宋体"/>
          <w:color w:val="auto"/>
          <w:sz w:val="24"/>
          <w:szCs w:val="24"/>
          <w:highlight w:val="none"/>
        </w:rPr>
      </w:pPr>
      <w:r>
        <w:rPr>
          <w:rFonts w:hint="eastAsia" w:ascii="宋体" w:hAnsi="宋体"/>
          <w:color w:val="auto"/>
          <w:sz w:val="24"/>
          <w:szCs w:val="24"/>
          <w:highlight w:val="none"/>
        </w:rPr>
        <w:t>投标人名称（盖章）：</w:t>
      </w:r>
    </w:p>
    <w:p>
      <w:pPr>
        <w:snapToGrid w:val="0"/>
        <w:spacing w:before="50" w:after="50" w:line="520" w:lineRule="exact"/>
        <w:ind w:left="-3" w:leftChars="-72" w:right="-817" w:rightChars="-389" w:hanging="148" w:hangingChars="62"/>
        <w:rPr>
          <w:rFonts w:hint="eastAsia" w:ascii="宋体" w:hAnsi="宋体"/>
          <w:color w:val="auto"/>
          <w:sz w:val="24"/>
          <w:szCs w:val="24"/>
          <w:highlight w:val="none"/>
        </w:rPr>
      </w:pPr>
      <w:r>
        <w:rPr>
          <w:rFonts w:hint="eastAsia" w:ascii="宋体" w:hAnsi="宋体"/>
          <w:color w:val="auto"/>
          <w:sz w:val="24"/>
          <w:szCs w:val="24"/>
          <w:highlight w:val="none"/>
        </w:rPr>
        <w:t>日期：</w:t>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日</w:t>
      </w:r>
    </w:p>
    <w:p>
      <w:pPr>
        <w:snapToGrid w:val="0"/>
        <w:spacing w:before="50" w:after="50" w:line="520" w:lineRule="exact"/>
        <w:ind w:left="-3" w:leftChars="-72" w:right="-817" w:rightChars="-389" w:hanging="148" w:hangingChars="62"/>
        <w:rPr>
          <w:rFonts w:hint="eastAsia" w:ascii="宋体" w:hAnsi="宋体"/>
          <w:color w:val="auto"/>
          <w:sz w:val="24"/>
          <w:szCs w:val="24"/>
          <w:highlight w:val="none"/>
        </w:rPr>
      </w:pPr>
    </w:p>
    <w:p>
      <w:pPr>
        <w:snapToGrid w:val="0"/>
        <w:spacing w:before="50" w:after="50" w:line="520" w:lineRule="exact"/>
        <w:ind w:left="-3" w:leftChars="-72" w:right="-817" w:rightChars="-389" w:hanging="148" w:hangingChars="62"/>
        <w:rPr>
          <w:rFonts w:hint="eastAsia" w:ascii="宋体" w:hAnsi="宋体"/>
          <w:color w:val="auto"/>
          <w:sz w:val="24"/>
          <w:szCs w:val="24"/>
          <w:highlight w:val="none"/>
        </w:rPr>
      </w:pPr>
      <w:r>
        <w:rPr>
          <w:rFonts w:hint="eastAsia" w:ascii="宋体" w:hAnsi="宋体"/>
          <w:color w:val="auto"/>
          <w:sz w:val="24"/>
          <w:szCs w:val="24"/>
          <w:highlight w:val="none"/>
          <w:lang w:val="zh-CN"/>
        </w:rPr>
        <w:t>注：1、</w:t>
      </w:r>
      <w:r>
        <w:rPr>
          <w:rFonts w:hint="eastAsia" w:ascii="宋体" w:hAnsi="宋体"/>
          <w:color w:val="auto"/>
          <w:sz w:val="24"/>
          <w:szCs w:val="24"/>
          <w:highlight w:val="none"/>
        </w:rPr>
        <w:t>此表不随磋商响应文件一起密封、递交，准备已盖章的空白表多份备用。</w:t>
      </w:r>
    </w:p>
    <w:p>
      <w:pPr>
        <w:snapToGrid w:val="0"/>
        <w:spacing w:before="50" w:after="50" w:line="520" w:lineRule="exact"/>
        <w:ind w:left="-3" w:leftChars="-72" w:right="-817" w:rightChars="-389" w:hanging="148" w:hangingChars="62"/>
        <w:rPr>
          <w:rFonts w:hint="eastAsia" w:ascii="宋体" w:hAnsi="宋体"/>
          <w:color w:val="auto"/>
          <w:sz w:val="24"/>
          <w:szCs w:val="24"/>
          <w:highlight w:val="none"/>
        </w:rPr>
      </w:pP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2、在磋商结束后，在磋商小组规定的时间内密封、单独提交。</w:t>
      </w:r>
    </w:p>
    <w:p>
      <w:pPr>
        <w:snapToGrid w:val="0"/>
        <w:spacing w:before="50" w:after="50" w:line="520" w:lineRule="exact"/>
        <w:ind w:left="-3" w:leftChars="-72" w:right="-817" w:rightChars="-389" w:hanging="148" w:hangingChars="62"/>
        <w:rPr>
          <w:rFonts w:hint="eastAsia" w:ascii="宋体" w:hAnsi="宋体"/>
          <w:color w:val="auto"/>
          <w:sz w:val="24"/>
          <w:szCs w:val="24"/>
          <w:highlight w:val="none"/>
        </w:rPr>
        <w:sectPr>
          <w:headerReference r:id="rId4" w:type="default"/>
          <w:footerReference r:id="rId5" w:type="default"/>
          <w:pgSz w:w="11906" w:h="16838"/>
          <w:pgMar w:top="1304" w:right="1531" w:bottom="1304" w:left="1531" w:header="851" w:footer="851" w:gutter="0"/>
          <w:cols w:space="720" w:num="1"/>
        </w:sectPr>
      </w:pPr>
    </w:p>
    <w:p>
      <w:pPr>
        <w:snapToGrid w:val="0"/>
        <w:spacing w:before="50" w:after="50" w:line="520" w:lineRule="exact"/>
        <w:rPr>
          <w:rFonts w:ascii="宋体"/>
          <w:color w:val="auto"/>
          <w:sz w:val="24"/>
          <w:szCs w:val="24"/>
          <w:highlight w:val="none"/>
        </w:rPr>
      </w:pPr>
      <w:r>
        <w:rPr>
          <w:rFonts w:hint="eastAsia" w:ascii="宋体" w:hAnsi="宋体"/>
          <w:b/>
          <w:color w:val="auto"/>
          <w:sz w:val="24"/>
          <w:szCs w:val="24"/>
          <w:highlight w:val="none"/>
        </w:rPr>
        <w:t>五、</w:t>
      </w:r>
      <w:r>
        <w:rPr>
          <w:rFonts w:hint="eastAsia" w:ascii="宋体" w:hAnsi="宋体"/>
          <w:b/>
          <w:color w:val="auto"/>
          <w:sz w:val="24"/>
          <w:szCs w:val="24"/>
          <w:highlight w:val="none"/>
          <w:lang w:val="en-US" w:eastAsia="zh-CN"/>
        </w:rPr>
        <w:t>资格证明</w:t>
      </w:r>
      <w:r>
        <w:rPr>
          <w:rFonts w:hint="eastAsia" w:ascii="宋体" w:hAnsi="宋体"/>
          <w:b/>
          <w:color w:val="auto"/>
          <w:sz w:val="24"/>
          <w:szCs w:val="24"/>
          <w:highlight w:val="none"/>
        </w:rPr>
        <w:t>文件</w:t>
      </w:r>
      <w:r>
        <w:rPr>
          <w:rFonts w:hint="eastAsia" w:ascii="宋体" w:hAnsi="宋体"/>
          <w:b/>
          <w:color w:val="auto"/>
          <w:sz w:val="24"/>
          <w:szCs w:val="24"/>
          <w:highlight w:val="none"/>
          <w:lang w:val="en-US" w:eastAsia="zh-CN"/>
        </w:rPr>
        <w:t>和商务技术文件</w:t>
      </w:r>
      <w:r>
        <w:rPr>
          <w:rFonts w:hint="eastAsia" w:ascii="宋体" w:hAnsi="宋体"/>
          <w:b/>
          <w:color w:val="auto"/>
          <w:sz w:val="24"/>
          <w:szCs w:val="24"/>
          <w:highlight w:val="none"/>
        </w:rPr>
        <w:t>目录</w:t>
      </w:r>
    </w:p>
    <w:p>
      <w:pPr>
        <w:pStyle w:val="16"/>
        <w:snapToGrid w:val="0"/>
        <w:spacing w:before="120" w:line="460" w:lineRule="exact"/>
        <w:ind w:firstLine="477" w:firstLineChars="198"/>
        <w:rPr>
          <w:rFonts w:hAnsi="宋体"/>
          <w:b/>
          <w:color w:val="auto"/>
          <w:sz w:val="24"/>
          <w:szCs w:val="24"/>
          <w:highlight w:val="none"/>
        </w:rPr>
      </w:pPr>
      <w:r>
        <w:rPr>
          <w:rFonts w:hint="eastAsia"/>
          <w:b/>
          <w:bCs/>
          <w:color w:val="auto"/>
          <w:sz w:val="24"/>
          <w:szCs w:val="24"/>
          <w:highlight w:val="none"/>
        </w:rPr>
        <w:t>1.1、</w:t>
      </w:r>
      <w:r>
        <w:rPr>
          <w:rFonts w:hint="eastAsia"/>
          <w:b/>
          <w:bCs/>
          <w:color w:val="auto"/>
          <w:sz w:val="24"/>
          <w:szCs w:val="24"/>
          <w:highlight w:val="none"/>
          <w:lang w:val="en-US" w:eastAsia="zh-CN"/>
        </w:rPr>
        <w:t>资信</w:t>
      </w:r>
      <w:r>
        <w:rPr>
          <w:rFonts w:hint="eastAsia"/>
          <w:b/>
          <w:bCs/>
          <w:color w:val="auto"/>
          <w:sz w:val="24"/>
          <w:szCs w:val="24"/>
          <w:highlight w:val="none"/>
        </w:rPr>
        <w:t>部分：</w:t>
      </w:r>
    </w:p>
    <w:p>
      <w:pPr>
        <w:pStyle w:val="16"/>
        <w:snapToGrid w:val="0"/>
        <w:spacing w:before="120" w:line="460" w:lineRule="exact"/>
        <w:ind w:firstLine="475" w:firstLineChars="198"/>
        <w:rPr>
          <w:rFonts w:hint="eastAsia" w:hAnsi="宋体"/>
          <w:color w:val="auto"/>
          <w:sz w:val="24"/>
          <w:szCs w:val="24"/>
          <w:highlight w:val="none"/>
        </w:rPr>
      </w:pPr>
      <w:r>
        <w:rPr>
          <w:rFonts w:hAnsi="宋体"/>
          <w:color w:val="auto"/>
          <w:sz w:val="24"/>
          <w:szCs w:val="24"/>
          <w:highlight w:val="none"/>
        </w:rPr>
        <w:t>1.</w:t>
      </w:r>
      <w:r>
        <w:rPr>
          <w:rFonts w:hint="eastAsia" w:hAnsi="宋体"/>
          <w:color w:val="auto"/>
          <w:sz w:val="24"/>
          <w:szCs w:val="24"/>
          <w:highlight w:val="none"/>
        </w:rPr>
        <w:t>1</w:t>
      </w:r>
      <w:r>
        <w:rPr>
          <w:rFonts w:hAnsi="宋体"/>
          <w:color w:val="auto"/>
          <w:sz w:val="24"/>
          <w:szCs w:val="24"/>
          <w:highlight w:val="none"/>
        </w:rPr>
        <w:t>.1</w:t>
      </w:r>
      <w:r>
        <w:rPr>
          <w:rFonts w:hint="eastAsia" w:hAnsi="宋体"/>
          <w:color w:val="auto"/>
          <w:sz w:val="24"/>
          <w:szCs w:val="24"/>
          <w:highlight w:val="none"/>
        </w:rPr>
        <w:t>投标函；</w:t>
      </w:r>
    </w:p>
    <w:p>
      <w:pPr>
        <w:pStyle w:val="16"/>
        <w:snapToGrid w:val="0"/>
        <w:spacing w:before="120" w:line="460" w:lineRule="exact"/>
        <w:ind w:firstLine="475" w:firstLineChars="198"/>
        <w:rPr>
          <w:rFonts w:hint="eastAsia" w:hAnsi="宋体"/>
          <w:color w:val="auto"/>
          <w:sz w:val="24"/>
          <w:szCs w:val="24"/>
          <w:highlight w:val="none"/>
        </w:rPr>
      </w:pPr>
      <w:r>
        <w:rPr>
          <w:rFonts w:hint="eastAsia" w:hAnsi="宋体"/>
          <w:color w:val="auto"/>
          <w:sz w:val="24"/>
          <w:szCs w:val="24"/>
          <w:highlight w:val="none"/>
        </w:rPr>
        <w:t>1.1.2</w:t>
      </w:r>
      <w:bookmarkStart w:id="22" w:name="OLE_LINK14"/>
      <w:r>
        <w:rPr>
          <w:rFonts w:hint="eastAsia" w:hAnsi="宋体"/>
          <w:color w:val="auto"/>
          <w:sz w:val="24"/>
          <w:szCs w:val="24"/>
          <w:highlight w:val="none"/>
          <w:lang w:val="en-US" w:eastAsia="zh-CN"/>
        </w:rPr>
        <w:t>响应</w:t>
      </w:r>
      <w:bookmarkEnd w:id="22"/>
      <w:r>
        <w:rPr>
          <w:rFonts w:hint="eastAsia" w:hAnsi="宋体"/>
          <w:color w:val="auto"/>
          <w:sz w:val="24"/>
          <w:szCs w:val="24"/>
          <w:highlight w:val="none"/>
        </w:rPr>
        <w:t>人企业法人营业执照（事业单位法人证书）复印件、投标人国地税税务登记证复印件或“多证合一”的营业执照（事业单位法人证书）复印件。</w:t>
      </w:r>
    </w:p>
    <w:p>
      <w:pPr>
        <w:pStyle w:val="16"/>
        <w:snapToGrid w:val="0"/>
        <w:spacing w:before="120" w:line="460" w:lineRule="exact"/>
        <w:ind w:firstLine="475" w:firstLineChars="198"/>
        <w:rPr>
          <w:rFonts w:hAnsi="宋体"/>
          <w:color w:val="auto"/>
          <w:sz w:val="24"/>
          <w:szCs w:val="24"/>
          <w:highlight w:val="none"/>
        </w:rPr>
      </w:pPr>
      <w:r>
        <w:rPr>
          <w:rFonts w:hint="eastAsia" w:hAnsi="宋体"/>
          <w:color w:val="auto"/>
          <w:sz w:val="24"/>
          <w:szCs w:val="24"/>
          <w:highlight w:val="none"/>
        </w:rPr>
        <w:t>1.1.</w:t>
      </w:r>
      <w:r>
        <w:rPr>
          <w:rFonts w:hint="eastAsia" w:hAnsi="宋体"/>
          <w:color w:val="auto"/>
          <w:sz w:val="24"/>
          <w:szCs w:val="24"/>
          <w:highlight w:val="none"/>
          <w:lang w:val="en-US" w:eastAsia="zh-CN"/>
        </w:rPr>
        <w:t>3</w:t>
      </w:r>
      <w:r>
        <w:rPr>
          <w:rFonts w:hint="eastAsia" w:hAnsi="宋体"/>
          <w:color w:val="auto"/>
          <w:sz w:val="24"/>
          <w:szCs w:val="24"/>
          <w:highlight w:val="none"/>
        </w:rPr>
        <w:t>《法定代表人授权函》；（非法定代表人参加投标时用）；（原件）</w:t>
      </w:r>
    </w:p>
    <w:p>
      <w:pPr>
        <w:pStyle w:val="16"/>
        <w:snapToGrid w:val="0"/>
        <w:spacing w:before="120" w:line="460" w:lineRule="exact"/>
        <w:ind w:firstLine="475" w:firstLineChars="198"/>
        <w:rPr>
          <w:rFonts w:hAnsi="宋体"/>
          <w:color w:val="auto"/>
          <w:sz w:val="24"/>
          <w:szCs w:val="24"/>
          <w:highlight w:val="none"/>
        </w:rPr>
      </w:pPr>
      <w:r>
        <w:rPr>
          <w:rFonts w:hint="eastAsia" w:hAnsi="宋体"/>
          <w:color w:val="auto"/>
          <w:sz w:val="24"/>
          <w:szCs w:val="24"/>
          <w:highlight w:val="none"/>
        </w:rPr>
        <w:t>1.1.</w:t>
      </w:r>
      <w:r>
        <w:rPr>
          <w:rFonts w:hint="eastAsia" w:hAnsi="宋体"/>
          <w:color w:val="auto"/>
          <w:sz w:val="24"/>
          <w:szCs w:val="24"/>
          <w:highlight w:val="none"/>
          <w:lang w:val="en-US" w:eastAsia="zh-CN"/>
        </w:rPr>
        <w:t>4</w:t>
      </w:r>
      <w:r>
        <w:rPr>
          <w:rFonts w:hint="eastAsia" w:hAnsi="宋体"/>
          <w:color w:val="auto"/>
          <w:sz w:val="24"/>
          <w:szCs w:val="24"/>
          <w:highlight w:val="none"/>
        </w:rPr>
        <w:t>法定代表人身份证复印件；</w:t>
      </w:r>
    </w:p>
    <w:p>
      <w:pPr>
        <w:pStyle w:val="16"/>
        <w:snapToGrid w:val="0"/>
        <w:spacing w:before="120" w:line="460" w:lineRule="exact"/>
        <w:ind w:firstLine="475" w:firstLineChars="198"/>
        <w:rPr>
          <w:rFonts w:hAnsi="宋体"/>
          <w:color w:val="auto"/>
          <w:sz w:val="24"/>
          <w:szCs w:val="24"/>
          <w:highlight w:val="none"/>
        </w:rPr>
      </w:pPr>
      <w:r>
        <w:rPr>
          <w:rFonts w:hint="eastAsia" w:hAnsi="宋体"/>
          <w:color w:val="auto"/>
          <w:sz w:val="24"/>
          <w:szCs w:val="24"/>
          <w:highlight w:val="none"/>
        </w:rPr>
        <w:t>1.1.</w:t>
      </w:r>
      <w:r>
        <w:rPr>
          <w:rFonts w:hint="eastAsia" w:hAnsi="宋体"/>
          <w:color w:val="auto"/>
          <w:sz w:val="24"/>
          <w:szCs w:val="24"/>
          <w:highlight w:val="none"/>
          <w:lang w:val="en-US" w:eastAsia="zh-CN"/>
        </w:rPr>
        <w:t>5响应</w:t>
      </w:r>
      <w:r>
        <w:rPr>
          <w:rFonts w:hint="eastAsia" w:hAnsi="宋体"/>
          <w:color w:val="auto"/>
          <w:sz w:val="24"/>
          <w:szCs w:val="24"/>
          <w:highlight w:val="none"/>
        </w:rPr>
        <w:t>人代表身份证复印件；</w:t>
      </w:r>
    </w:p>
    <w:p>
      <w:pPr>
        <w:pStyle w:val="16"/>
        <w:snapToGrid w:val="0"/>
        <w:spacing w:before="120" w:line="460" w:lineRule="exact"/>
        <w:ind w:firstLine="475" w:firstLineChars="198"/>
        <w:rPr>
          <w:rFonts w:hAnsi="宋体"/>
          <w:color w:val="auto"/>
          <w:sz w:val="24"/>
          <w:szCs w:val="24"/>
          <w:highlight w:val="none"/>
        </w:rPr>
      </w:pPr>
      <w:r>
        <w:rPr>
          <w:rFonts w:hint="eastAsia" w:hAnsi="宋体"/>
          <w:color w:val="auto"/>
          <w:sz w:val="24"/>
          <w:szCs w:val="24"/>
          <w:highlight w:val="none"/>
          <w:lang w:val="zh-CN"/>
        </w:rPr>
        <w:t>1.1.</w:t>
      </w:r>
      <w:r>
        <w:rPr>
          <w:rFonts w:hint="eastAsia" w:hAnsi="宋体"/>
          <w:color w:val="auto"/>
          <w:sz w:val="24"/>
          <w:szCs w:val="24"/>
          <w:highlight w:val="none"/>
          <w:lang w:val="en-US" w:eastAsia="zh-CN"/>
        </w:rPr>
        <w:t>6</w:t>
      </w:r>
      <w:r>
        <w:rPr>
          <w:rFonts w:hint="eastAsia" w:hAnsi="宋体"/>
          <w:color w:val="auto"/>
          <w:sz w:val="24"/>
          <w:szCs w:val="24"/>
          <w:highlight w:val="none"/>
          <w:lang w:val="zh-CN"/>
        </w:rPr>
        <w:t>提供资质证书复印件</w:t>
      </w:r>
      <w:r>
        <w:rPr>
          <w:rFonts w:hint="eastAsia" w:hAnsi="宋体"/>
          <w:color w:val="auto"/>
          <w:sz w:val="24"/>
          <w:szCs w:val="24"/>
          <w:highlight w:val="none"/>
        </w:rPr>
        <w:t>。</w:t>
      </w:r>
    </w:p>
    <w:p>
      <w:pPr>
        <w:pStyle w:val="16"/>
        <w:snapToGrid w:val="0"/>
        <w:spacing w:before="120" w:line="460" w:lineRule="exact"/>
        <w:ind w:firstLine="475" w:firstLineChars="198"/>
        <w:rPr>
          <w:rFonts w:hAnsi="宋体"/>
          <w:color w:val="auto"/>
          <w:sz w:val="24"/>
          <w:szCs w:val="24"/>
          <w:highlight w:val="none"/>
          <w:lang w:val="zh-CN"/>
        </w:rPr>
      </w:pPr>
      <w:r>
        <w:rPr>
          <w:rFonts w:hint="eastAsia" w:hAnsi="宋体"/>
          <w:color w:val="auto"/>
          <w:sz w:val="24"/>
          <w:szCs w:val="24"/>
          <w:highlight w:val="none"/>
          <w:lang w:val="zh-CN"/>
        </w:rPr>
        <w:t>1.1.</w:t>
      </w:r>
      <w:r>
        <w:rPr>
          <w:rFonts w:hint="eastAsia" w:hAnsi="宋体"/>
          <w:color w:val="auto"/>
          <w:sz w:val="24"/>
          <w:szCs w:val="24"/>
          <w:highlight w:val="none"/>
          <w:lang w:val="en-US" w:eastAsia="zh-CN"/>
        </w:rPr>
        <w:t>7响应</w:t>
      </w:r>
      <w:r>
        <w:rPr>
          <w:rFonts w:hint="eastAsia" w:hAnsi="宋体"/>
          <w:color w:val="auto"/>
          <w:sz w:val="24"/>
          <w:szCs w:val="24"/>
          <w:highlight w:val="none"/>
          <w:lang w:val="zh-CN"/>
        </w:rPr>
        <w:t>人企业简介和从业能力等情况说明；</w:t>
      </w:r>
    </w:p>
    <w:p>
      <w:pPr>
        <w:pStyle w:val="16"/>
        <w:snapToGrid w:val="0"/>
        <w:spacing w:before="120" w:line="460" w:lineRule="exact"/>
        <w:ind w:firstLine="475" w:firstLineChars="198"/>
        <w:rPr>
          <w:rFonts w:hAnsi="宋体"/>
          <w:color w:val="auto"/>
          <w:sz w:val="24"/>
          <w:szCs w:val="24"/>
          <w:highlight w:val="none"/>
          <w:lang w:val="zh-CN"/>
        </w:rPr>
      </w:pPr>
      <w:r>
        <w:rPr>
          <w:rFonts w:hint="eastAsia" w:hAnsi="宋体"/>
          <w:color w:val="auto"/>
          <w:sz w:val="24"/>
          <w:szCs w:val="24"/>
          <w:highlight w:val="none"/>
          <w:lang w:val="zh-CN"/>
        </w:rPr>
        <w:t>1.1.</w:t>
      </w:r>
      <w:r>
        <w:rPr>
          <w:rFonts w:hint="eastAsia" w:hAnsi="宋体"/>
          <w:color w:val="auto"/>
          <w:sz w:val="24"/>
          <w:szCs w:val="24"/>
          <w:highlight w:val="none"/>
          <w:lang w:val="en-US" w:eastAsia="zh-CN"/>
        </w:rPr>
        <w:t>8响应</w:t>
      </w:r>
      <w:r>
        <w:rPr>
          <w:rFonts w:hint="eastAsia" w:hAnsi="宋体"/>
          <w:color w:val="auto"/>
          <w:sz w:val="24"/>
          <w:szCs w:val="24"/>
          <w:highlight w:val="none"/>
          <w:lang w:val="zh-CN"/>
        </w:rPr>
        <w:t>人可根据要求提供相关业绩证明材料提供合同复印件加盖公章；</w:t>
      </w:r>
    </w:p>
    <w:p>
      <w:pPr>
        <w:pStyle w:val="16"/>
        <w:snapToGrid w:val="0"/>
        <w:spacing w:before="120" w:line="460" w:lineRule="exact"/>
        <w:ind w:firstLine="475" w:firstLineChars="198"/>
        <w:rPr>
          <w:rFonts w:hAnsi="宋体"/>
          <w:color w:val="auto"/>
          <w:sz w:val="24"/>
          <w:szCs w:val="24"/>
          <w:highlight w:val="none"/>
        </w:rPr>
      </w:pPr>
      <w:r>
        <w:rPr>
          <w:rFonts w:hint="eastAsia" w:hAnsi="宋体"/>
          <w:color w:val="auto"/>
          <w:sz w:val="24"/>
          <w:szCs w:val="24"/>
          <w:highlight w:val="none"/>
          <w:lang w:val="zh-CN"/>
        </w:rPr>
        <w:t>以上涉及的有关内容均须提供合法有效的证明材料复印件。（特别注明的除外）</w:t>
      </w:r>
    </w:p>
    <w:p>
      <w:pPr>
        <w:pStyle w:val="16"/>
        <w:snapToGrid w:val="0"/>
        <w:spacing w:before="120" w:line="460" w:lineRule="exact"/>
        <w:ind w:firstLine="477" w:firstLineChars="198"/>
        <w:rPr>
          <w:b/>
          <w:bCs/>
          <w:color w:val="auto"/>
          <w:sz w:val="24"/>
          <w:szCs w:val="24"/>
          <w:highlight w:val="none"/>
        </w:rPr>
      </w:pPr>
      <w:r>
        <w:rPr>
          <w:rFonts w:hint="eastAsia"/>
          <w:b/>
          <w:bCs/>
          <w:color w:val="auto"/>
          <w:sz w:val="24"/>
          <w:szCs w:val="24"/>
          <w:highlight w:val="none"/>
        </w:rPr>
        <w:t>1.2、商务技术部分：</w:t>
      </w:r>
    </w:p>
    <w:p>
      <w:pPr>
        <w:pStyle w:val="16"/>
        <w:snapToGrid w:val="0"/>
        <w:spacing w:before="120" w:line="460" w:lineRule="exact"/>
        <w:ind w:firstLine="475" w:firstLineChars="198"/>
        <w:rPr>
          <w:rFonts w:hAnsi="宋体"/>
          <w:color w:val="auto"/>
          <w:sz w:val="24"/>
          <w:szCs w:val="24"/>
          <w:highlight w:val="none"/>
        </w:rPr>
      </w:pPr>
      <w:r>
        <w:rPr>
          <w:rFonts w:hint="eastAsia" w:hAnsi="宋体"/>
          <w:color w:val="auto"/>
          <w:sz w:val="24"/>
          <w:szCs w:val="24"/>
          <w:highlight w:val="none"/>
        </w:rPr>
        <w:t>1.2.1服务方案（可根据评分标准编制）</w:t>
      </w:r>
    </w:p>
    <w:p>
      <w:pPr>
        <w:pStyle w:val="16"/>
        <w:snapToGrid w:val="0"/>
        <w:spacing w:before="120" w:line="460" w:lineRule="exact"/>
        <w:ind w:firstLine="475" w:firstLineChars="198"/>
        <w:rPr>
          <w:rFonts w:hint="eastAsia" w:hAnsi="宋体"/>
          <w:color w:val="auto"/>
          <w:sz w:val="24"/>
          <w:szCs w:val="24"/>
          <w:highlight w:val="none"/>
        </w:rPr>
      </w:pPr>
      <w:r>
        <w:rPr>
          <w:rFonts w:hint="eastAsia" w:hAnsi="宋体"/>
          <w:color w:val="auto"/>
          <w:sz w:val="24"/>
          <w:szCs w:val="24"/>
          <w:highlight w:val="none"/>
        </w:rPr>
        <w:t>1.2.2偏离表</w:t>
      </w:r>
    </w:p>
    <w:p>
      <w:pPr>
        <w:pStyle w:val="16"/>
        <w:snapToGrid w:val="0"/>
        <w:spacing w:before="120" w:line="460" w:lineRule="exact"/>
        <w:ind w:firstLine="475" w:firstLineChars="198"/>
        <w:rPr>
          <w:rFonts w:hint="eastAsia" w:hAnsi="宋体"/>
          <w:color w:val="auto"/>
          <w:sz w:val="24"/>
          <w:szCs w:val="24"/>
          <w:highlight w:val="none"/>
          <w:lang w:val="en-US" w:eastAsia="zh-CN"/>
        </w:rPr>
      </w:pPr>
      <w:r>
        <w:rPr>
          <w:rFonts w:hint="eastAsia" w:hAnsi="宋体"/>
          <w:color w:val="auto"/>
          <w:sz w:val="24"/>
          <w:szCs w:val="24"/>
          <w:highlight w:val="none"/>
          <w:lang w:val="en-US" w:eastAsia="zh-CN"/>
        </w:rPr>
        <w:t>1.2.3诚信投标承诺书</w:t>
      </w:r>
    </w:p>
    <w:p>
      <w:pPr>
        <w:pStyle w:val="16"/>
        <w:snapToGrid w:val="0"/>
        <w:spacing w:before="120" w:line="460" w:lineRule="exact"/>
        <w:ind w:firstLine="475" w:firstLineChars="198"/>
        <w:rPr>
          <w:rFonts w:hint="eastAsia" w:hAnsi="宋体"/>
          <w:color w:val="auto"/>
          <w:sz w:val="24"/>
          <w:szCs w:val="24"/>
          <w:highlight w:val="none"/>
          <w:lang w:val="en-US" w:eastAsia="zh-CN"/>
        </w:rPr>
      </w:pPr>
      <w:r>
        <w:rPr>
          <w:rFonts w:hint="eastAsia" w:hAnsi="宋体"/>
          <w:color w:val="auto"/>
          <w:sz w:val="24"/>
          <w:szCs w:val="24"/>
          <w:highlight w:val="none"/>
          <w:lang w:val="en-US" w:eastAsia="zh-CN"/>
        </w:rPr>
        <w:t>1.2.4</w:t>
      </w:r>
      <w:bookmarkStart w:id="23" w:name="OLE_LINK2"/>
      <w:r>
        <w:rPr>
          <w:rFonts w:hint="eastAsia" w:hAnsi="宋体"/>
          <w:color w:val="auto"/>
          <w:sz w:val="24"/>
          <w:szCs w:val="24"/>
          <w:highlight w:val="none"/>
          <w:lang w:val="en-US" w:eastAsia="zh-CN"/>
        </w:rPr>
        <w:t>评分标准页码索引</w:t>
      </w:r>
      <w:bookmarkEnd w:id="23"/>
    </w:p>
    <w:p>
      <w:pPr>
        <w:pStyle w:val="16"/>
        <w:snapToGrid w:val="0"/>
        <w:spacing w:before="120" w:line="460" w:lineRule="exact"/>
        <w:ind w:firstLine="475" w:firstLineChars="198"/>
        <w:rPr>
          <w:rFonts w:hint="eastAsia" w:hAnsi="宋体"/>
          <w:color w:val="auto"/>
          <w:sz w:val="24"/>
          <w:szCs w:val="24"/>
          <w:highlight w:val="none"/>
          <w:lang w:val="zh-CN"/>
        </w:rPr>
      </w:pPr>
      <w:r>
        <w:rPr>
          <w:rFonts w:hint="eastAsia" w:hAnsi="宋体"/>
          <w:color w:val="auto"/>
          <w:sz w:val="24"/>
          <w:szCs w:val="24"/>
          <w:highlight w:val="none"/>
          <w:lang w:val="zh-CN"/>
        </w:rPr>
        <w:t>1.2.</w:t>
      </w:r>
      <w:r>
        <w:rPr>
          <w:rFonts w:hint="eastAsia" w:hAnsi="宋体"/>
          <w:color w:val="auto"/>
          <w:sz w:val="24"/>
          <w:szCs w:val="24"/>
          <w:highlight w:val="none"/>
          <w:lang w:val="en-US" w:eastAsia="zh-CN"/>
        </w:rPr>
        <w:t>5</w:t>
      </w:r>
      <w:r>
        <w:rPr>
          <w:rFonts w:hint="eastAsia" w:hAnsi="宋体"/>
          <w:color w:val="auto"/>
          <w:sz w:val="24"/>
          <w:szCs w:val="24"/>
          <w:highlight w:val="none"/>
          <w:lang w:val="zh-CN"/>
        </w:rPr>
        <w:t>本</w:t>
      </w:r>
      <w:r>
        <w:rPr>
          <w:rFonts w:hint="eastAsia" w:hAnsi="宋体"/>
          <w:color w:val="auto"/>
          <w:sz w:val="24"/>
          <w:szCs w:val="24"/>
          <w:highlight w:val="none"/>
          <w:lang w:val="en-US" w:eastAsia="zh-CN"/>
        </w:rPr>
        <w:t>磋商</w:t>
      </w:r>
      <w:r>
        <w:rPr>
          <w:rFonts w:hint="eastAsia" w:hAnsi="宋体"/>
          <w:color w:val="auto"/>
          <w:sz w:val="24"/>
          <w:szCs w:val="24"/>
          <w:highlight w:val="none"/>
          <w:lang w:val="zh-CN"/>
        </w:rPr>
        <w:t>文件要求提供的和</w:t>
      </w:r>
      <w:r>
        <w:rPr>
          <w:rFonts w:hint="eastAsia" w:hAnsi="宋体"/>
          <w:color w:val="auto"/>
          <w:sz w:val="24"/>
          <w:szCs w:val="24"/>
          <w:highlight w:val="none"/>
          <w:lang w:val="en-US" w:eastAsia="zh-CN"/>
        </w:rPr>
        <w:t>响应</w:t>
      </w:r>
      <w:r>
        <w:rPr>
          <w:rFonts w:hint="eastAsia" w:hAnsi="宋体"/>
          <w:color w:val="auto"/>
          <w:sz w:val="24"/>
          <w:szCs w:val="24"/>
          <w:highlight w:val="none"/>
          <w:lang w:val="zh-CN"/>
        </w:rPr>
        <w:t>人认为需要提供的其它说明和资料/文件。</w:t>
      </w:r>
    </w:p>
    <w:p>
      <w:pPr>
        <w:pStyle w:val="16"/>
        <w:snapToGrid w:val="0"/>
        <w:spacing w:before="120" w:line="460" w:lineRule="exact"/>
        <w:ind w:firstLine="475" w:firstLineChars="198"/>
        <w:rPr>
          <w:rFonts w:hint="eastAsia" w:hAnsi="宋体"/>
          <w:color w:val="auto"/>
          <w:sz w:val="24"/>
          <w:szCs w:val="24"/>
          <w:highlight w:val="none"/>
          <w:lang w:val="zh-CN"/>
        </w:rPr>
      </w:pPr>
      <w:r>
        <w:rPr>
          <w:rFonts w:hint="eastAsia" w:hAnsi="宋体"/>
          <w:color w:val="auto"/>
          <w:sz w:val="24"/>
          <w:szCs w:val="24"/>
          <w:highlight w:val="none"/>
          <w:lang w:val="zh-CN"/>
        </w:rPr>
        <w:t>注：</w:t>
      </w:r>
      <w:r>
        <w:rPr>
          <w:rFonts w:hint="eastAsia" w:hAnsi="宋体"/>
          <w:color w:val="auto"/>
          <w:sz w:val="24"/>
          <w:szCs w:val="24"/>
          <w:highlight w:val="none"/>
          <w:lang w:val="en-US" w:eastAsia="zh-CN"/>
        </w:rPr>
        <w:t>磋商</w:t>
      </w:r>
      <w:r>
        <w:rPr>
          <w:rFonts w:hint="eastAsia" w:hAnsi="宋体"/>
          <w:color w:val="auto"/>
          <w:sz w:val="24"/>
          <w:szCs w:val="24"/>
          <w:highlight w:val="none"/>
          <w:lang w:val="zh-CN"/>
        </w:rPr>
        <w:t>文件未提供格式可以由</w:t>
      </w:r>
      <w:r>
        <w:rPr>
          <w:rFonts w:hint="eastAsia" w:hAnsi="宋体"/>
          <w:color w:val="auto"/>
          <w:sz w:val="24"/>
          <w:szCs w:val="24"/>
          <w:highlight w:val="none"/>
          <w:lang w:val="en-US" w:eastAsia="zh-CN"/>
        </w:rPr>
        <w:t>响应</w:t>
      </w:r>
      <w:r>
        <w:rPr>
          <w:rFonts w:hint="eastAsia" w:hAnsi="宋体"/>
          <w:color w:val="auto"/>
          <w:sz w:val="24"/>
          <w:szCs w:val="24"/>
          <w:highlight w:val="none"/>
          <w:lang w:val="zh-CN"/>
        </w:rPr>
        <w:t>人自行提供</w:t>
      </w:r>
    </w:p>
    <w:p>
      <w:pPr>
        <w:pStyle w:val="16"/>
        <w:snapToGrid w:val="0"/>
        <w:spacing w:before="120" w:line="460" w:lineRule="exact"/>
        <w:ind w:firstLine="475" w:firstLineChars="198"/>
        <w:rPr>
          <w:rFonts w:hint="eastAsia" w:hAnsi="宋体"/>
          <w:color w:val="auto"/>
          <w:sz w:val="24"/>
          <w:szCs w:val="24"/>
          <w:highlight w:val="none"/>
          <w:lang w:val="zh-CN"/>
        </w:rPr>
      </w:pPr>
    </w:p>
    <w:p>
      <w:pPr>
        <w:pStyle w:val="16"/>
        <w:snapToGrid w:val="0"/>
        <w:spacing w:before="120" w:line="460" w:lineRule="exact"/>
        <w:ind w:firstLine="475" w:firstLineChars="198"/>
        <w:rPr>
          <w:rFonts w:hint="eastAsia" w:hAnsi="宋体"/>
          <w:color w:val="auto"/>
          <w:sz w:val="24"/>
          <w:szCs w:val="24"/>
          <w:highlight w:val="none"/>
          <w:lang w:val="zh-CN"/>
        </w:rPr>
      </w:pPr>
    </w:p>
    <w:p>
      <w:pPr>
        <w:pStyle w:val="16"/>
        <w:snapToGrid w:val="0"/>
        <w:spacing w:before="120" w:line="460" w:lineRule="exact"/>
        <w:ind w:firstLine="475" w:firstLineChars="198"/>
        <w:rPr>
          <w:rFonts w:hAnsi="宋体"/>
          <w:color w:val="auto"/>
          <w:sz w:val="24"/>
          <w:szCs w:val="24"/>
          <w:highlight w:val="none"/>
        </w:rPr>
      </w:pPr>
    </w:p>
    <w:p>
      <w:pPr>
        <w:pStyle w:val="16"/>
        <w:snapToGrid w:val="0"/>
        <w:spacing w:before="120" w:line="460" w:lineRule="exact"/>
        <w:ind w:firstLine="475" w:firstLineChars="198"/>
        <w:rPr>
          <w:rFonts w:hAnsi="宋体"/>
          <w:color w:val="auto"/>
          <w:sz w:val="24"/>
          <w:szCs w:val="24"/>
          <w:highlight w:val="none"/>
        </w:rPr>
      </w:pPr>
    </w:p>
    <w:p>
      <w:pPr>
        <w:pStyle w:val="16"/>
        <w:snapToGrid w:val="0"/>
        <w:spacing w:before="120" w:line="460" w:lineRule="exact"/>
        <w:ind w:firstLine="475" w:firstLineChars="198"/>
        <w:rPr>
          <w:rFonts w:hAnsi="宋体"/>
          <w:color w:val="auto"/>
          <w:sz w:val="24"/>
          <w:szCs w:val="24"/>
          <w:highlight w:val="none"/>
        </w:rPr>
      </w:pPr>
      <w:r>
        <w:rPr>
          <w:rFonts w:hAnsi="宋体"/>
          <w:color w:val="auto"/>
          <w:sz w:val="24"/>
          <w:szCs w:val="24"/>
          <w:highlight w:val="none"/>
        </w:rPr>
        <w:br w:type="page"/>
      </w:r>
    </w:p>
    <w:p>
      <w:pPr>
        <w:snapToGrid w:val="0"/>
        <w:spacing w:before="120" w:beforeLines="50" w:after="50" w:line="520" w:lineRule="exact"/>
        <w:textAlignment w:val="baseline"/>
        <w:rPr>
          <w:rFonts w:ascii="宋体"/>
          <w:color w:val="auto"/>
          <w:sz w:val="24"/>
          <w:szCs w:val="24"/>
          <w:highlight w:val="none"/>
        </w:rPr>
      </w:pPr>
      <w:r>
        <w:rPr>
          <w:rFonts w:hint="eastAsia"/>
          <w:b/>
          <w:color w:val="auto"/>
          <w:sz w:val="24"/>
          <w:szCs w:val="24"/>
          <w:highlight w:val="none"/>
        </w:rPr>
        <w:t>1.1.1</w:t>
      </w:r>
    </w:p>
    <w:p>
      <w:pPr>
        <w:snapToGrid w:val="0"/>
        <w:spacing w:before="120" w:beforeLines="50" w:after="50" w:line="520" w:lineRule="exact"/>
        <w:jc w:val="center"/>
        <w:rPr>
          <w:rFonts w:ascii="宋体"/>
          <w:b/>
          <w:color w:val="auto"/>
          <w:sz w:val="24"/>
          <w:szCs w:val="24"/>
          <w:highlight w:val="none"/>
        </w:rPr>
      </w:pPr>
      <w:r>
        <w:rPr>
          <w:rFonts w:hint="eastAsia" w:ascii="宋体" w:hAnsi="宋体"/>
          <w:b/>
          <w:color w:val="auto"/>
          <w:sz w:val="24"/>
          <w:szCs w:val="24"/>
          <w:highlight w:val="none"/>
        </w:rPr>
        <w:t>投标函</w:t>
      </w:r>
    </w:p>
    <w:p>
      <w:pPr>
        <w:snapToGrid w:val="0"/>
        <w:spacing w:line="360" w:lineRule="auto"/>
        <w:rPr>
          <w:rFonts w:ascii="宋体"/>
          <w:color w:val="auto"/>
          <w:sz w:val="21"/>
          <w:szCs w:val="21"/>
          <w:highlight w:val="none"/>
        </w:rPr>
      </w:pPr>
      <w:r>
        <w:rPr>
          <w:rFonts w:hint="eastAsia" w:ascii="宋体" w:hAnsi="宋体"/>
          <w:color w:val="auto"/>
          <w:sz w:val="21"/>
          <w:szCs w:val="21"/>
          <w:highlight w:val="none"/>
        </w:rPr>
        <w:t>致：</w:t>
      </w:r>
      <w:r>
        <w:rPr>
          <w:rFonts w:ascii="宋体" w:hAnsi="宋体"/>
          <w:color w:val="auto"/>
          <w:sz w:val="21"/>
          <w:szCs w:val="21"/>
          <w:highlight w:val="none"/>
        </w:rPr>
        <w:t>_</w:t>
      </w:r>
      <w:r>
        <w:rPr>
          <w:rFonts w:hint="eastAsia" w:ascii="宋体" w:hAnsi="宋体"/>
          <w:color w:val="auto"/>
          <w:sz w:val="21"/>
          <w:szCs w:val="21"/>
          <w:highlight w:val="none"/>
          <w:u w:val="single"/>
        </w:rPr>
        <w:t xml:space="preserve"> </w:t>
      </w:r>
      <w:r>
        <w:rPr>
          <w:rFonts w:ascii="宋体" w:hAnsi="宋体"/>
          <w:color w:val="auto"/>
          <w:sz w:val="21"/>
          <w:szCs w:val="21"/>
          <w:highlight w:val="none"/>
          <w:u w:val="single"/>
        </w:rPr>
        <w:t xml:space="preserve">                            </w:t>
      </w:r>
      <w:r>
        <w:rPr>
          <w:rFonts w:ascii="宋体" w:hAnsi="宋体"/>
          <w:color w:val="auto"/>
          <w:sz w:val="21"/>
          <w:szCs w:val="21"/>
          <w:highlight w:val="none"/>
        </w:rPr>
        <w:t>_</w:t>
      </w:r>
      <w:r>
        <w:rPr>
          <w:rFonts w:hint="eastAsia" w:ascii="宋体" w:hAnsi="宋体"/>
          <w:color w:val="auto"/>
          <w:sz w:val="21"/>
          <w:szCs w:val="21"/>
          <w:highlight w:val="none"/>
        </w:rPr>
        <w:t>：</w:t>
      </w:r>
    </w:p>
    <w:p>
      <w:pPr>
        <w:snapToGrid w:val="0"/>
        <w:spacing w:line="360" w:lineRule="auto"/>
        <w:ind w:firstLine="480"/>
        <w:rPr>
          <w:rFonts w:ascii="宋体"/>
          <w:color w:val="auto"/>
          <w:sz w:val="21"/>
          <w:szCs w:val="21"/>
          <w:highlight w:val="none"/>
        </w:rPr>
      </w:pPr>
      <w:r>
        <w:rPr>
          <w:rFonts w:hint="eastAsia" w:ascii="宋体" w:hAnsi="宋体"/>
          <w:color w:val="auto"/>
          <w:sz w:val="21"/>
          <w:szCs w:val="21"/>
          <w:highlight w:val="none"/>
        </w:rPr>
        <w:t>根据贵方为项目的采购公告（项目编号：</w:t>
      </w:r>
      <w:r>
        <w:rPr>
          <w:rFonts w:ascii="宋体" w:hAnsi="宋体"/>
          <w:color w:val="auto"/>
          <w:sz w:val="21"/>
          <w:szCs w:val="21"/>
          <w:highlight w:val="none"/>
        </w:rPr>
        <w:t>____</w:t>
      </w:r>
      <w:r>
        <w:rPr>
          <w:rFonts w:ascii="宋体" w:hAnsi="宋体"/>
          <w:color w:val="auto"/>
          <w:sz w:val="21"/>
          <w:szCs w:val="21"/>
          <w:highlight w:val="none"/>
          <w:u w:val="single"/>
        </w:rPr>
        <w:t>_     _</w:t>
      </w:r>
      <w:r>
        <w:rPr>
          <w:rFonts w:ascii="宋体" w:hAnsi="宋体"/>
          <w:color w:val="auto"/>
          <w:sz w:val="21"/>
          <w:szCs w:val="21"/>
          <w:highlight w:val="none"/>
        </w:rPr>
        <w:t>_</w:t>
      </w:r>
      <w:r>
        <w:rPr>
          <w:rFonts w:hint="eastAsia" w:ascii="宋体" w:hAnsi="宋体"/>
          <w:color w:val="auto"/>
          <w:sz w:val="21"/>
          <w:szCs w:val="21"/>
          <w:highlight w:val="none"/>
        </w:rPr>
        <w:t>），签字代表</w:t>
      </w:r>
      <w:r>
        <w:rPr>
          <w:rFonts w:ascii="宋体" w:hAnsi="宋体"/>
          <w:color w:val="auto"/>
          <w:sz w:val="21"/>
          <w:szCs w:val="21"/>
          <w:highlight w:val="none"/>
        </w:rPr>
        <w:t>______</w:t>
      </w:r>
      <w:r>
        <w:rPr>
          <w:rFonts w:ascii="宋体" w:hAnsi="宋体"/>
          <w:color w:val="auto"/>
          <w:sz w:val="21"/>
          <w:szCs w:val="21"/>
          <w:highlight w:val="none"/>
          <w:u w:val="single"/>
        </w:rPr>
        <w:t xml:space="preserve">_     </w:t>
      </w:r>
      <w:r>
        <w:rPr>
          <w:rFonts w:hint="eastAsia" w:ascii="宋体" w:hAnsi="宋体"/>
          <w:color w:val="auto"/>
          <w:sz w:val="21"/>
          <w:szCs w:val="21"/>
          <w:highlight w:val="none"/>
        </w:rPr>
        <w:t>（全名）经正式授权并代表投标人</w:t>
      </w:r>
      <w:r>
        <w:rPr>
          <w:rFonts w:ascii="宋体" w:hAnsi="宋体"/>
          <w:color w:val="auto"/>
          <w:sz w:val="21"/>
          <w:szCs w:val="21"/>
          <w:highlight w:val="none"/>
        </w:rPr>
        <w:t>_____</w:t>
      </w:r>
      <w:r>
        <w:rPr>
          <w:rFonts w:ascii="宋体" w:hAnsi="宋体"/>
          <w:color w:val="auto"/>
          <w:sz w:val="21"/>
          <w:szCs w:val="21"/>
          <w:highlight w:val="none"/>
          <w:u w:val="single"/>
        </w:rPr>
        <w:t>__                    __</w:t>
      </w:r>
      <w:r>
        <w:rPr>
          <w:rFonts w:hint="eastAsia" w:ascii="宋体" w:hAnsi="宋体"/>
          <w:color w:val="auto"/>
          <w:sz w:val="21"/>
          <w:szCs w:val="21"/>
          <w:highlight w:val="none"/>
        </w:rPr>
        <w:t>（投标人名称）提交投标报价文件及电子文档、</w:t>
      </w:r>
      <w:r>
        <w:rPr>
          <w:rFonts w:hint="eastAsia" w:ascii="宋体" w:hAnsi="宋体"/>
          <w:color w:val="auto"/>
          <w:sz w:val="21"/>
          <w:szCs w:val="21"/>
          <w:highlight w:val="none"/>
          <w:lang w:val="en-US" w:eastAsia="zh-CN"/>
        </w:rPr>
        <w:t>资格证明文件、</w:t>
      </w:r>
      <w:r>
        <w:rPr>
          <w:rFonts w:hint="eastAsia" w:ascii="宋体" w:hAnsi="宋体"/>
          <w:color w:val="auto"/>
          <w:sz w:val="21"/>
          <w:szCs w:val="21"/>
          <w:highlight w:val="none"/>
        </w:rPr>
        <w:t>商务技术文件及电子档、正本各一份、副本</w:t>
      </w:r>
      <w:r>
        <w:rPr>
          <w:rFonts w:hint="eastAsia" w:ascii="宋体" w:hAnsi="宋体"/>
          <w:color w:val="auto"/>
          <w:sz w:val="21"/>
          <w:szCs w:val="21"/>
          <w:highlight w:val="none"/>
          <w:u w:val="single"/>
        </w:rPr>
        <w:t>肆</w:t>
      </w:r>
      <w:r>
        <w:rPr>
          <w:rFonts w:hint="eastAsia" w:ascii="宋体" w:hAnsi="宋体"/>
          <w:color w:val="auto"/>
          <w:sz w:val="21"/>
          <w:szCs w:val="21"/>
          <w:highlight w:val="none"/>
        </w:rPr>
        <w:t>份，电子文档各</w:t>
      </w:r>
      <w:r>
        <w:rPr>
          <w:rFonts w:ascii="宋体" w:hAnsi="宋体"/>
          <w:color w:val="auto"/>
          <w:sz w:val="21"/>
          <w:szCs w:val="21"/>
          <w:highlight w:val="none"/>
        </w:rPr>
        <w:t>1</w:t>
      </w:r>
      <w:r>
        <w:rPr>
          <w:rFonts w:hint="eastAsia" w:ascii="宋体" w:hAnsi="宋体"/>
          <w:color w:val="auto"/>
          <w:sz w:val="21"/>
          <w:szCs w:val="21"/>
          <w:highlight w:val="none"/>
        </w:rPr>
        <w:t>份。</w:t>
      </w:r>
    </w:p>
    <w:p>
      <w:pPr>
        <w:snapToGrid w:val="0"/>
        <w:spacing w:line="360" w:lineRule="auto"/>
        <w:ind w:firstLine="420" w:firstLineChars="200"/>
        <w:rPr>
          <w:rFonts w:ascii="宋体"/>
          <w:color w:val="auto"/>
          <w:sz w:val="21"/>
          <w:szCs w:val="21"/>
          <w:highlight w:val="none"/>
        </w:rPr>
      </w:pPr>
      <w:r>
        <w:rPr>
          <w:rFonts w:hint="eastAsia" w:ascii="宋体" w:hAnsi="宋体"/>
          <w:color w:val="auto"/>
          <w:sz w:val="21"/>
          <w:szCs w:val="21"/>
          <w:highlight w:val="none"/>
        </w:rPr>
        <w:t>据此函，签字代表宣布同意如下：</w:t>
      </w:r>
    </w:p>
    <w:p>
      <w:pPr>
        <w:pStyle w:val="15"/>
        <w:widowControl/>
        <w:spacing w:line="360" w:lineRule="auto"/>
        <w:ind w:right="-91" w:firstLine="387" w:firstLineChars="192"/>
        <w:rPr>
          <w:rFonts w:hAnsi="宋体" w:cs="宋体"/>
          <w:color w:val="auto"/>
          <w:sz w:val="21"/>
          <w:szCs w:val="21"/>
          <w:highlight w:val="none"/>
        </w:rPr>
      </w:pPr>
      <w:r>
        <w:rPr>
          <w:rFonts w:hAnsi="宋体" w:cs="宋体"/>
          <w:color w:val="auto"/>
          <w:sz w:val="21"/>
          <w:szCs w:val="21"/>
          <w:highlight w:val="none"/>
        </w:rPr>
        <w:t>1</w:t>
      </w:r>
      <w:r>
        <w:rPr>
          <w:rFonts w:hint="eastAsia" w:hAnsi="宋体" w:cs="宋体"/>
          <w:color w:val="auto"/>
          <w:sz w:val="21"/>
          <w:szCs w:val="21"/>
          <w:highlight w:val="none"/>
        </w:rPr>
        <w:t>、我方已详细审查了采购文件的全部内容及其相关补充文件</w:t>
      </w:r>
      <w:r>
        <w:rPr>
          <w:rFonts w:hint="eastAsia" w:hAnsi="宋体" w:cs="宋体"/>
          <w:b/>
          <w:color w:val="auto"/>
          <w:sz w:val="21"/>
          <w:szCs w:val="21"/>
          <w:highlight w:val="none"/>
        </w:rPr>
        <w:t>（若有）</w:t>
      </w:r>
      <w:r>
        <w:rPr>
          <w:rFonts w:hint="eastAsia" w:hAnsi="宋体" w:cs="宋体"/>
          <w:color w:val="auto"/>
          <w:sz w:val="21"/>
          <w:szCs w:val="21"/>
          <w:highlight w:val="none"/>
        </w:rPr>
        <w:t>，并完全清晰理解全部内容及相关的补充文件</w:t>
      </w:r>
      <w:r>
        <w:rPr>
          <w:rFonts w:hint="eastAsia" w:hAnsi="宋体" w:cs="宋体"/>
          <w:b/>
          <w:color w:val="auto"/>
          <w:sz w:val="21"/>
          <w:szCs w:val="21"/>
          <w:highlight w:val="none"/>
        </w:rPr>
        <w:t>（若有）</w:t>
      </w:r>
      <w:r>
        <w:rPr>
          <w:rFonts w:hint="eastAsia" w:hAnsi="宋体" w:cs="宋体"/>
          <w:color w:val="auto"/>
          <w:sz w:val="21"/>
          <w:szCs w:val="21"/>
          <w:highlight w:val="none"/>
        </w:rPr>
        <w:t>，不存在任何误解之处，同意放弃提出异议和质疑的权利。</w:t>
      </w:r>
    </w:p>
    <w:p>
      <w:pPr>
        <w:spacing w:line="360" w:lineRule="auto"/>
        <w:ind w:right="-89" w:firstLine="404" w:firstLineChars="200"/>
        <w:jc w:val="left"/>
        <w:rPr>
          <w:rFonts w:ascii="宋体" w:cs="宋体"/>
          <w:color w:val="auto"/>
          <w:spacing w:val="-4"/>
          <w:sz w:val="21"/>
          <w:szCs w:val="21"/>
          <w:highlight w:val="none"/>
        </w:rPr>
      </w:pPr>
      <w:r>
        <w:rPr>
          <w:rFonts w:ascii="宋体" w:hAnsi="宋体" w:cs="宋体"/>
          <w:color w:val="auto"/>
          <w:spacing w:val="-4"/>
          <w:sz w:val="21"/>
          <w:szCs w:val="21"/>
          <w:highlight w:val="none"/>
        </w:rPr>
        <w:t>2</w:t>
      </w:r>
      <w:r>
        <w:rPr>
          <w:rFonts w:hint="eastAsia" w:ascii="宋体" w:hAnsi="宋体" w:cs="宋体"/>
          <w:color w:val="auto"/>
          <w:spacing w:val="-4"/>
          <w:sz w:val="21"/>
          <w:szCs w:val="21"/>
          <w:highlight w:val="none"/>
        </w:rPr>
        <w:t>、我方遵守《中华人民共和国政府采购法》及相关法律法规的规定。同意采购文件中所提到的无效标条款，并服从有关开标现场的会议纪律。否则，同意被废除投标资格。</w:t>
      </w:r>
    </w:p>
    <w:p>
      <w:pPr>
        <w:spacing w:line="360" w:lineRule="auto"/>
        <w:ind w:firstLine="404" w:firstLineChars="200"/>
        <w:rPr>
          <w:rFonts w:ascii="宋体" w:cs="宋体"/>
          <w:color w:val="auto"/>
          <w:spacing w:val="-4"/>
          <w:sz w:val="21"/>
          <w:szCs w:val="21"/>
          <w:highlight w:val="none"/>
        </w:rPr>
      </w:pPr>
      <w:r>
        <w:rPr>
          <w:rFonts w:ascii="宋体" w:hAnsi="宋体" w:cs="宋体"/>
          <w:color w:val="auto"/>
          <w:spacing w:val="-4"/>
          <w:sz w:val="21"/>
          <w:szCs w:val="21"/>
          <w:highlight w:val="none"/>
        </w:rPr>
        <w:t>3</w:t>
      </w:r>
      <w:r>
        <w:rPr>
          <w:rFonts w:hint="eastAsia" w:ascii="宋体" w:hAnsi="宋体" w:cs="宋体"/>
          <w:color w:val="auto"/>
          <w:spacing w:val="-4"/>
          <w:sz w:val="21"/>
          <w:szCs w:val="21"/>
          <w:highlight w:val="none"/>
        </w:rPr>
        <w:t>、我方所提供的一次性投标产品报价均具充分的合理性和准确性，保证不存在低于成本的恶意报价行为，同时清楚理解到报价最低并非意味着必定获得合同授予资格。</w:t>
      </w:r>
    </w:p>
    <w:p>
      <w:pPr>
        <w:spacing w:line="360" w:lineRule="auto"/>
        <w:ind w:firstLine="404" w:firstLineChars="200"/>
        <w:rPr>
          <w:rFonts w:ascii="宋体" w:cs="宋体"/>
          <w:color w:val="auto"/>
          <w:spacing w:val="-4"/>
          <w:sz w:val="21"/>
          <w:szCs w:val="21"/>
          <w:highlight w:val="none"/>
        </w:rPr>
      </w:pPr>
      <w:r>
        <w:rPr>
          <w:rFonts w:ascii="宋体" w:hAnsi="宋体" w:cs="宋体"/>
          <w:color w:val="auto"/>
          <w:spacing w:val="-4"/>
          <w:sz w:val="21"/>
          <w:szCs w:val="21"/>
          <w:highlight w:val="none"/>
        </w:rPr>
        <w:t>4</w:t>
      </w:r>
      <w:r>
        <w:rPr>
          <w:rFonts w:hint="eastAsia" w:ascii="宋体" w:hAnsi="宋体" w:cs="宋体"/>
          <w:color w:val="auto"/>
          <w:spacing w:val="-4"/>
          <w:sz w:val="21"/>
          <w:szCs w:val="21"/>
          <w:highlight w:val="none"/>
        </w:rPr>
        <w:t>、投标有效期为自开标之日起</w:t>
      </w:r>
      <w:r>
        <w:rPr>
          <w:rFonts w:hint="eastAsia" w:ascii="宋体" w:hAnsi="宋体" w:cs="宋体"/>
          <w:color w:val="auto"/>
          <w:spacing w:val="-4"/>
          <w:sz w:val="21"/>
          <w:szCs w:val="21"/>
          <w:highlight w:val="none"/>
          <w:u w:val="single"/>
        </w:rPr>
        <w:t>6</w:t>
      </w:r>
      <w:r>
        <w:rPr>
          <w:rFonts w:ascii="宋体" w:hAnsi="宋体" w:cs="宋体"/>
          <w:color w:val="auto"/>
          <w:spacing w:val="-4"/>
          <w:sz w:val="21"/>
          <w:szCs w:val="21"/>
          <w:highlight w:val="none"/>
          <w:u w:val="single"/>
        </w:rPr>
        <w:t>0</w:t>
      </w:r>
      <w:r>
        <w:rPr>
          <w:rFonts w:hint="eastAsia" w:ascii="宋体" w:hAnsi="宋体" w:cs="宋体"/>
          <w:color w:val="auto"/>
          <w:spacing w:val="-4"/>
          <w:sz w:val="21"/>
          <w:szCs w:val="21"/>
          <w:highlight w:val="none"/>
        </w:rPr>
        <w:t>天，如在投标有效期内撤回投标，我方同意被废除投标资格和没收投标保证金。</w:t>
      </w:r>
    </w:p>
    <w:p>
      <w:pPr>
        <w:spacing w:line="360" w:lineRule="auto"/>
        <w:ind w:firstLine="404" w:firstLineChars="200"/>
        <w:rPr>
          <w:rFonts w:ascii="宋体" w:cs="宋体"/>
          <w:color w:val="auto"/>
          <w:spacing w:val="-4"/>
          <w:sz w:val="21"/>
          <w:szCs w:val="21"/>
          <w:highlight w:val="none"/>
        </w:rPr>
      </w:pPr>
      <w:r>
        <w:rPr>
          <w:rFonts w:ascii="宋体" w:hAnsi="宋体" w:cs="宋体"/>
          <w:color w:val="auto"/>
          <w:spacing w:val="-4"/>
          <w:sz w:val="21"/>
          <w:szCs w:val="21"/>
          <w:highlight w:val="none"/>
        </w:rPr>
        <w:t>5</w:t>
      </w:r>
      <w:r>
        <w:rPr>
          <w:rFonts w:hint="eastAsia" w:ascii="宋体" w:hAnsi="宋体" w:cs="宋体"/>
          <w:color w:val="auto"/>
          <w:spacing w:val="-4"/>
          <w:sz w:val="21"/>
          <w:szCs w:val="21"/>
          <w:highlight w:val="none"/>
        </w:rPr>
        <w:t>、我方承诺</w:t>
      </w:r>
      <w:r>
        <w:rPr>
          <w:rFonts w:hint="eastAsia" w:ascii="宋体" w:hAnsi="宋体" w:cs="宋体"/>
          <w:color w:val="auto"/>
          <w:sz w:val="21"/>
          <w:szCs w:val="21"/>
          <w:highlight w:val="none"/>
        </w:rPr>
        <w:t>参加政府采购活动前</w:t>
      </w:r>
      <w:r>
        <w:rPr>
          <w:rFonts w:ascii="宋体" w:hAnsi="宋体" w:cs="宋体"/>
          <w:color w:val="auto"/>
          <w:sz w:val="21"/>
          <w:szCs w:val="21"/>
          <w:highlight w:val="none"/>
        </w:rPr>
        <w:t>3</w:t>
      </w:r>
      <w:r>
        <w:rPr>
          <w:rFonts w:hint="eastAsia" w:ascii="宋体" w:hAnsi="宋体" w:cs="宋体"/>
          <w:color w:val="auto"/>
          <w:sz w:val="21"/>
          <w:szCs w:val="21"/>
          <w:highlight w:val="none"/>
        </w:rPr>
        <w:t>年内在经营活动中没有重大违法记录和依法缴纳了税收</w:t>
      </w:r>
      <w:r>
        <w:rPr>
          <w:rFonts w:hint="eastAsia" w:ascii="宋体" w:hAnsi="宋体" w:cs="宋体"/>
          <w:color w:val="auto"/>
          <w:spacing w:val="-4"/>
          <w:sz w:val="21"/>
          <w:szCs w:val="21"/>
          <w:highlight w:val="none"/>
        </w:rPr>
        <w:t>（投标截止时间进行计算）。</w:t>
      </w:r>
    </w:p>
    <w:p>
      <w:pPr>
        <w:spacing w:line="360" w:lineRule="auto"/>
        <w:ind w:firstLine="404" w:firstLineChars="200"/>
        <w:rPr>
          <w:color w:val="auto"/>
          <w:sz w:val="21"/>
          <w:szCs w:val="21"/>
          <w:highlight w:val="none"/>
        </w:rPr>
      </w:pPr>
      <w:r>
        <w:rPr>
          <w:rFonts w:ascii="宋体" w:hAnsi="宋体" w:cs="宋体"/>
          <w:color w:val="auto"/>
          <w:spacing w:val="-4"/>
          <w:sz w:val="21"/>
          <w:szCs w:val="21"/>
          <w:highlight w:val="none"/>
        </w:rPr>
        <w:t>6</w:t>
      </w:r>
      <w:r>
        <w:rPr>
          <w:rFonts w:hint="eastAsia" w:ascii="宋体" w:hAnsi="宋体" w:cs="宋体"/>
          <w:color w:val="auto"/>
          <w:spacing w:val="-4"/>
          <w:sz w:val="21"/>
          <w:szCs w:val="21"/>
          <w:highlight w:val="none"/>
        </w:rPr>
        <w:t>、我方承诺具备本项目</w:t>
      </w:r>
      <w:r>
        <w:rPr>
          <w:rFonts w:hint="eastAsia" w:cs="宋体"/>
          <w:color w:val="auto"/>
          <w:sz w:val="21"/>
          <w:szCs w:val="21"/>
          <w:highlight w:val="none"/>
        </w:rPr>
        <w:t>履行合同所必需的设备和专业技术能力</w:t>
      </w:r>
    </w:p>
    <w:p>
      <w:pPr>
        <w:spacing w:line="360" w:lineRule="auto"/>
        <w:ind w:firstLine="404" w:firstLineChars="200"/>
        <w:rPr>
          <w:rFonts w:ascii="宋体" w:cs="宋体"/>
          <w:color w:val="auto"/>
          <w:spacing w:val="-4"/>
          <w:sz w:val="21"/>
          <w:szCs w:val="21"/>
          <w:highlight w:val="none"/>
        </w:rPr>
      </w:pPr>
      <w:r>
        <w:rPr>
          <w:rFonts w:ascii="宋体" w:hAnsi="宋体" w:cs="宋体"/>
          <w:color w:val="auto"/>
          <w:spacing w:val="-4"/>
          <w:sz w:val="21"/>
          <w:szCs w:val="21"/>
          <w:highlight w:val="none"/>
        </w:rPr>
        <w:t>7</w:t>
      </w:r>
      <w:r>
        <w:rPr>
          <w:rFonts w:hint="eastAsia" w:ascii="宋体" w:hAnsi="宋体" w:cs="宋体"/>
          <w:color w:val="auto"/>
          <w:spacing w:val="-4"/>
          <w:sz w:val="21"/>
          <w:szCs w:val="21"/>
          <w:highlight w:val="none"/>
        </w:rPr>
        <w:t>、我方承诺所提供的一切投标文件经已认真严格审核，内容均为全面真实、准确有效且毫无保留，绝无任何遗漏、虚假、伪造和夸大的成份，若出现违背诚实信用和无如实告知之处，同意被废除投标资格和相关的处罚。</w:t>
      </w:r>
    </w:p>
    <w:p>
      <w:pPr>
        <w:snapToGrid w:val="0"/>
        <w:spacing w:line="360" w:lineRule="auto"/>
        <w:ind w:firstLine="420" w:firstLineChars="200"/>
        <w:rPr>
          <w:rFonts w:ascii="宋体"/>
          <w:color w:val="auto"/>
          <w:sz w:val="21"/>
          <w:szCs w:val="21"/>
          <w:highlight w:val="none"/>
        </w:rPr>
      </w:pPr>
      <w:r>
        <w:rPr>
          <w:rFonts w:ascii="宋体" w:hAnsi="宋体"/>
          <w:color w:val="auto"/>
          <w:sz w:val="21"/>
          <w:szCs w:val="21"/>
          <w:highlight w:val="none"/>
        </w:rPr>
        <w:t>8</w:t>
      </w:r>
      <w:r>
        <w:rPr>
          <w:rFonts w:ascii="宋体"/>
          <w:color w:val="auto"/>
          <w:sz w:val="21"/>
          <w:szCs w:val="21"/>
          <w:highlight w:val="none"/>
        </w:rPr>
        <w:t>.</w:t>
      </w:r>
      <w:r>
        <w:rPr>
          <w:rFonts w:hint="eastAsia" w:ascii="宋体" w:hAnsi="宋体"/>
          <w:color w:val="auto"/>
          <w:sz w:val="21"/>
          <w:szCs w:val="21"/>
          <w:highlight w:val="none"/>
        </w:rPr>
        <w:t>与本投标有关的一切正式往来信函请寄：</w:t>
      </w:r>
    </w:p>
    <w:p>
      <w:pPr>
        <w:snapToGrid w:val="0"/>
        <w:spacing w:line="360" w:lineRule="auto"/>
        <w:rPr>
          <w:rFonts w:ascii="宋体"/>
          <w:color w:val="auto"/>
          <w:sz w:val="21"/>
          <w:szCs w:val="21"/>
          <w:highlight w:val="none"/>
        </w:rPr>
      </w:pPr>
    </w:p>
    <w:p>
      <w:pPr>
        <w:snapToGrid w:val="0"/>
        <w:spacing w:line="360" w:lineRule="auto"/>
        <w:rPr>
          <w:rFonts w:ascii="宋体"/>
          <w:color w:val="auto"/>
          <w:sz w:val="21"/>
          <w:szCs w:val="21"/>
          <w:highlight w:val="none"/>
        </w:rPr>
      </w:pPr>
      <w:r>
        <w:rPr>
          <w:rFonts w:hint="eastAsia" w:ascii="宋体" w:hAnsi="宋体"/>
          <w:color w:val="auto"/>
          <w:sz w:val="21"/>
          <w:szCs w:val="21"/>
          <w:highlight w:val="none"/>
        </w:rPr>
        <w:t>地址：</w:t>
      </w:r>
      <w:r>
        <w:rPr>
          <w:rFonts w:ascii="宋体" w:hAnsi="宋体"/>
          <w:color w:val="auto"/>
          <w:sz w:val="21"/>
          <w:szCs w:val="21"/>
          <w:highlight w:val="none"/>
        </w:rPr>
        <w:t>__________</w:t>
      </w:r>
      <w:r>
        <w:rPr>
          <w:rFonts w:ascii="宋体" w:hAnsi="宋体"/>
          <w:color w:val="auto"/>
          <w:sz w:val="21"/>
          <w:szCs w:val="21"/>
          <w:highlight w:val="none"/>
          <w:u w:val="single"/>
        </w:rPr>
        <w:t xml:space="preserve">        _</w:t>
      </w:r>
      <w:r>
        <w:rPr>
          <w:rFonts w:ascii="宋体" w:hAnsi="宋体"/>
          <w:color w:val="auto"/>
          <w:sz w:val="21"/>
          <w:szCs w:val="21"/>
          <w:highlight w:val="none"/>
        </w:rPr>
        <w:t>____</w:t>
      </w:r>
      <w:r>
        <w:rPr>
          <w:rFonts w:hint="eastAsia" w:ascii="宋体" w:hAnsi="宋体"/>
          <w:color w:val="auto"/>
          <w:sz w:val="21"/>
          <w:szCs w:val="21"/>
          <w:highlight w:val="none"/>
        </w:rPr>
        <w:t>邮编：</w:t>
      </w:r>
      <w:r>
        <w:rPr>
          <w:rFonts w:ascii="宋体" w:hAnsi="宋体"/>
          <w:color w:val="auto"/>
          <w:sz w:val="21"/>
          <w:szCs w:val="21"/>
          <w:highlight w:val="none"/>
        </w:rPr>
        <w:t xml:space="preserve">__________   </w:t>
      </w:r>
      <w:r>
        <w:rPr>
          <w:rFonts w:hint="eastAsia" w:ascii="宋体" w:hAnsi="宋体"/>
          <w:color w:val="auto"/>
          <w:sz w:val="21"/>
          <w:szCs w:val="21"/>
          <w:highlight w:val="none"/>
        </w:rPr>
        <w:t>电话：</w:t>
      </w:r>
      <w:r>
        <w:rPr>
          <w:rFonts w:ascii="宋体" w:hAnsi="宋体"/>
          <w:color w:val="auto"/>
          <w:sz w:val="21"/>
          <w:szCs w:val="21"/>
          <w:highlight w:val="none"/>
        </w:rPr>
        <w:t>______________</w:t>
      </w:r>
    </w:p>
    <w:p>
      <w:pPr>
        <w:snapToGrid w:val="0"/>
        <w:spacing w:line="360" w:lineRule="auto"/>
        <w:rPr>
          <w:rFonts w:ascii="宋体"/>
          <w:color w:val="auto"/>
          <w:sz w:val="21"/>
          <w:szCs w:val="21"/>
          <w:highlight w:val="none"/>
        </w:rPr>
      </w:pPr>
      <w:r>
        <w:rPr>
          <w:rFonts w:hint="eastAsia" w:ascii="宋体" w:hAnsi="宋体"/>
          <w:color w:val="auto"/>
          <w:sz w:val="21"/>
          <w:szCs w:val="21"/>
          <w:highlight w:val="none"/>
        </w:rPr>
        <w:t>传真：</w:t>
      </w:r>
      <w:r>
        <w:rPr>
          <w:rFonts w:ascii="宋体" w:hAnsi="宋体"/>
          <w:color w:val="auto"/>
          <w:sz w:val="21"/>
          <w:szCs w:val="21"/>
          <w:highlight w:val="none"/>
        </w:rPr>
        <w:t>______________</w:t>
      </w:r>
      <w:r>
        <w:rPr>
          <w:rFonts w:hint="eastAsia" w:ascii="宋体" w:hAnsi="宋体"/>
          <w:color w:val="auto"/>
          <w:sz w:val="21"/>
          <w:szCs w:val="21"/>
          <w:highlight w:val="none"/>
        </w:rPr>
        <w:t>投标人代表姓名</w:t>
      </w:r>
      <w:r>
        <w:rPr>
          <w:rFonts w:ascii="宋体" w:hAnsi="宋体"/>
          <w:color w:val="auto"/>
          <w:sz w:val="21"/>
          <w:szCs w:val="21"/>
          <w:highlight w:val="none"/>
        </w:rPr>
        <w:t xml:space="preserve"> ___________  </w:t>
      </w:r>
      <w:r>
        <w:rPr>
          <w:rFonts w:hint="eastAsia" w:ascii="宋体" w:hAnsi="宋体"/>
          <w:color w:val="auto"/>
          <w:sz w:val="21"/>
          <w:szCs w:val="21"/>
          <w:highlight w:val="none"/>
        </w:rPr>
        <w:t>职务：</w:t>
      </w:r>
      <w:r>
        <w:rPr>
          <w:rFonts w:ascii="宋体" w:hAnsi="宋体"/>
          <w:color w:val="auto"/>
          <w:sz w:val="21"/>
          <w:szCs w:val="21"/>
          <w:highlight w:val="none"/>
        </w:rPr>
        <w:t>_____________</w:t>
      </w:r>
    </w:p>
    <w:p>
      <w:pPr>
        <w:snapToGrid w:val="0"/>
        <w:spacing w:line="360" w:lineRule="auto"/>
        <w:rPr>
          <w:rFonts w:ascii="宋体"/>
          <w:color w:val="auto"/>
          <w:sz w:val="21"/>
          <w:szCs w:val="21"/>
          <w:highlight w:val="none"/>
        </w:rPr>
      </w:pPr>
      <w:r>
        <w:rPr>
          <w:rFonts w:hint="eastAsia" w:ascii="宋体" w:hAnsi="宋体"/>
          <w:color w:val="auto"/>
          <w:sz w:val="21"/>
          <w:szCs w:val="21"/>
          <w:highlight w:val="none"/>
        </w:rPr>
        <w:t>投标人名称</w:t>
      </w:r>
      <w:r>
        <w:rPr>
          <w:rFonts w:ascii="宋体" w:hAnsi="宋体"/>
          <w:color w:val="auto"/>
          <w:sz w:val="21"/>
          <w:szCs w:val="21"/>
          <w:highlight w:val="none"/>
        </w:rPr>
        <w:t>(</w:t>
      </w:r>
      <w:r>
        <w:rPr>
          <w:rFonts w:hint="eastAsia" w:ascii="宋体" w:hAnsi="宋体"/>
          <w:color w:val="auto"/>
          <w:sz w:val="21"/>
          <w:szCs w:val="21"/>
          <w:highlight w:val="none"/>
        </w:rPr>
        <w:t>公章</w:t>
      </w:r>
      <w:r>
        <w:rPr>
          <w:rFonts w:ascii="宋体" w:hAnsi="宋体"/>
          <w:color w:val="auto"/>
          <w:sz w:val="21"/>
          <w:szCs w:val="21"/>
          <w:highlight w:val="none"/>
        </w:rPr>
        <w:t>):___________________</w:t>
      </w:r>
    </w:p>
    <w:p>
      <w:pPr>
        <w:snapToGrid w:val="0"/>
        <w:spacing w:line="360" w:lineRule="auto"/>
        <w:rPr>
          <w:rFonts w:ascii="宋体"/>
          <w:color w:val="auto"/>
          <w:sz w:val="21"/>
          <w:szCs w:val="21"/>
          <w:highlight w:val="none"/>
        </w:rPr>
      </w:pPr>
      <w:r>
        <w:rPr>
          <w:rFonts w:hint="eastAsia" w:ascii="宋体" w:hAnsi="宋体"/>
          <w:color w:val="auto"/>
          <w:sz w:val="21"/>
          <w:szCs w:val="21"/>
          <w:highlight w:val="none"/>
        </w:rPr>
        <w:t>开户银行：银行帐号：</w:t>
      </w:r>
    </w:p>
    <w:p>
      <w:pPr>
        <w:pStyle w:val="53"/>
        <w:snapToGrid w:val="0"/>
        <w:spacing w:before="120" w:after="120" w:line="360" w:lineRule="auto"/>
        <w:rPr>
          <w:rFonts w:hAnsi="宋体"/>
          <w:color w:val="auto"/>
          <w:sz w:val="24"/>
          <w:szCs w:val="24"/>
          <w:highlight w:val="none"/>
        </w:rPr>
      </w:pPr>
      <w:r>
        <w:rPr>
          <w:rFonts w:hint="eastAsia" w:hAnsi="宋体"/>
          <w:color w:val="auto"/>
          <w:sz w:val="21"/>
          <w:szCs w:val="21"/>
          <w:highlight w:val="none"/>
        </w:rPr>
        <w:t>授权代表签字</w:t>
      </w:r>
      <w:r>
        <w:rPr>
          <w:rFonts w:hAnsi="宋体"/>
          <w:color w:val="auto"/>
          <w:sz w:val="21"/>
          <w:szCs w:val="21"/>
          <w:highlight w:val="none"/>
        </w:rPr>
        <w:t xml:space="preserve">:___________                      </w:t>
      </w:r>
      <w:r>
        <w:rPr>
          <w:rFonts w:hint="eastAsia" w:hAnsi="宋体"/>
          <w:color w:val="auto"/>
          <w:sz w:val="21"/>
          <w:szCs w:val="21"/>
          <w:highlight w:val="none"/>
        </w:rPr>
        <w:t>日期</w:t>
      </w:r>
      <w:r>
        <w:rPr>
          <w:rFonts w:hAnsi="宋体"/>
          <w:color w:val="auto"/>
          <w:sz w:val="21"/>
          <w:szCs w:val="21"/>
          <w:highlight w:val="none"/>
        </w:rPr>
        <w:t>:_____</w:t>
      </w:r>
      <w:r>
        <w:rPr>
          <w:rFonts w:hint="eastAsia" w:hAnsi="宋体"/>
          <w:color w:val="auto"/>
          <w:sz w:val="21"/>
          <w:szCs w:val="21"/>
          <w:highlight w:val="none"/>
        </w:rPr>
        <w:t>年</w:t>
      </w:r>
      <w:r>
        <w:rPr>
          <w:rFonts w:hAnsi="宋体"/>
          <w:color w:val="auto"/>
          <w:sz w:val="21"/>
          <w:szCs w:val="21"/>
          <w:highlight w:val="none"/>
        </w:rPr>
        <w:t>___</w:t>
      </w:r>
      <w:r>
        <w:rPr>
          <w:rFonts w:hint="eastAsia" w:hAnsi="宋体"/>
          <w:color w:val="auto"/>
          <w:sz w:val="21"/>
          <w:szCs w:val="21"/>
          <w:highlight w:val="none"/>
        </w:rPr>
        <w:t>月</w:t>
      </w:r>
      <w:r>
        <w:rPr>
          <w:rFonts w:hAnsi="宋体"/>
          <w:color w:val="auto"/>
          <w:sz w:val="21"/>
          <w:szCs w:val="21"/>
          <w:highlight w:val="none"/>
        </w:rPr>
        <w:t>__</w:t>
      </w:r>
      <w:r>
        <w:rPr>
          <w:rFonts w:hAnsi="宋体"/>
          <w:color w:val="auto"/>
          <w:sz w:val="24"/>
          <w:szCs w:val="24"/>
          <w:highlight w:val="none"/>
        </w:rPr>
        <w:t>_</w:t>
      </w:r>
      <w:r>
        <w:rPr>
          <w:rFonts w:hint="eastAsia" w:hAnsi="宋体"/>
          <w:color w:val="auto"/>
          <w:sz w:val="24"/>
          <w:szCs w:val="24"/>
          <w:highlight w:val="none"/>
        </w:rPr>
        <w:t>日</w:t>
      </w:r>
    </w:p>
    <w:p>
      <w:pPr>
        <w:rPr>
          <w:rFonts w:hint="eastAsia" w:ascii="宋体" w:hAnsi="宋体"/>
          <w:b/>
          <w:color w:val="auto"/>
          <w:sz w:val="24"/>
          <w:szCs w:val="24"/>
          <w:highlight w:val="none"/>
        </w:rPr>
      </w:pPr>
    </w:p>
    <w:p>
      <w:pPr>
        <w:rPr>
          <w:rFonts w:hint="eastAsia" w:ascii="宋体" w:hAnsi="宋体"/>
          <w:b/>
          <w:color w:val="auto"/>
          <w:sz w:val="24"/>
          <w:szCs w:val="24"/>
          <w:highlight w:val="none"/>
        </w:rPr>
      </w:pPr>
    </w:p>
    <w:p>
      <w:pPr>
        <w:rPr>
          <w:rFonts w:hint="eastAsia" w:ascii="宋体" w:hAnsi="宋体"/>
          <w:b/>
          <w:color w:val="auto"/>
          <w:sz w:val="24"/>
          <w:szCs w:val="24"/>
          <w:highlight w:val="none"/>
        </w:rPr>
      </w:pPr>
    </w:p>
    <w:p>
      <w:pPr>
        <w:rPr>
          <w:rFonts w:hint="eastAsia" w:ascii="宋体" w:hAnsi="宋体"/>
          <w:b/>
          <w:color w:val="auto"/>
          <w:sz w:val="24"/>
          <w:szCs w:val="24"/>
          <w:highlight w:val="none"/>
        </w:rPr>
      </w:pPr>
    </w:p>
    <w:p>
      <w:pPr>
        <w:rPr>
          <w:rFonts w:hint="eastAsia" w:ascii="宋体" w:hAnsi="宋体"/>
          <w:b/>
          <w:color w:val="auto"/>
          <w:sz w:val="24"/>
          <w:szCs w:val="24"/>
          <w:highlight w:val="none"/>
        </w:rPr>
      </w:pPr>
    </w:p>
    <w:p>
      <w:pPr>
        <w:snapToGrid w:val="0"/>
        <w:spacing w:before="120" w:beforeLines="50" w:after="50" w:line="520" w:lineRule="exact"/>
        <w:rPr>
          <w:rFonts w:ascii="宋体"/>
          <w:color w:val="auto"/>
          <w:sz w:val="24"/>
          <w:szCs w:val="24"/>
          <w:highlight w:val="none"/>
        </w:rPr>
      </w:pPr>
      <w:r>
        <w:rPr>
          <w:rFonts w:hint="eastAsia" w:ascii="宋体" w:hAnsi="宋体"/>
          <w:b/>
          <w:color w:val="auto"/>
          <w:sz w:val="24"/>
          <w:szCs w:val="24"/>
          <w:highlight w:val="none"/>
        </w:rPr>
        <w:t>1.1.</w:t>
      </w:r>
      <w:r>
        <w:rPr>
          <w:rFonts w:hint="eastAsia" w:ascii="宋体" w:hAnsi="宋体"/>
          <w:b/>
          <w:color w:val="auto"/>
          <w:sz w:val="24"/>
          <w:szCs w:val="24"/>
          <w:highlight w:val="none"/>
          <w:lang w:val="en-US" w:eastAsia="zh-CN"/>
        </w:rPr>
        <w:t>3</w:t>
      </w:r>
    </w:p>
    <w:p>
      <w:pPr>
        <w:snapToGrid w:val="0"/>
        <w:spacing w:before="120" w:beforeLines="50" w:after="50" w:line="520" w:lineRule="exact"/>
        <w:jc w:val="center"/>
        <w:rPr>
          <w:rFonts w:ascii="宋体" w:hAnsi="宋体"/>
          <w:b/>
          <w:color w:val="auto"/>
          <w:sz w:val="24"/>
          <w:szCs w:val="24"/>
          <w:highlight w:val="none"/>
        </w:rPr>
      </w:pPr>
      <w:r>
        <w:rPr>
          <w:rFonts w:hint="eastAsia" w:ascii="宋体" w:hAnsi="宋体"/>
          <w:b/>
          <w:color w:val="auto"/>
          <w:sz w:val="24"/>
          <w:szCs w:val="24"/>
          <w:highlight w:val="none"/>
        </w:rPr>
        <w:t>法定代表人授权函</w:t>
      </w:r>
    </w:p>
    <w:p>
      <w:pPr>
        <w:snapToGrid w:val="0"/>
        <w:spacing w:before="120" w:beforeLines="50" w:after="50" w:line="520" w:lineRule="exact"/>
        <w:rPr>
          <w:rFonts w:ascii="宋体"/>
          <w:b/>
          <w:color w:val="auto"/>
          <w:sz w:val="24"/>
          <w:szCs w:val="24"/>
          <w:highlight w:val="none"/>
        </w:rPr>
      </w:pPr>
      <w:r>
        <w:rPr>
          <w:rFonts w:hint="eastAsia" w:ascii="宋体" w:hAnsi="宋体"/>
          <w:color w:val="auto"/>
          <w:sz w:val="24"/>
          <w:szCs w:val="24"/>
          <w:highlight w:val="none"/>
        </w:rPr>
        <w:t>致：</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pPr>
        <w:snapToGrid w:val="0"/>
        <w:spacing w:before="120" w:beforeLines="50" w:after="120" w:afterLines="50" w:line="520" w:lineRule="exact"/>
        <w:ind w:firstLine="720" w:firstLineChars="300"/>
        <w:rPr>
          <w:rFonts w:ascii="宋体"/>
          <w:color w:val="auto"/>
          <w:sz w:val="24"/>
          <w:szCs w:val="24"/>
          <w:highlight w:val="none"/>
        </w:rPr>
      </w:pPr>
      <w:r>
        <w:rPr>
          <w:rFonts w:hint="eastAsia" w:ascii="宋体" w:hAnsi="宋体"/>
          <w:color w:val="auto"/>
          <w:sz w:val="24"/>
          <w:szCs w:val="24"/>
          <w:highlight w:val="none"/>
        </w:rPr>
        <w:t>我</w:t>
      </w:r>
      <w:r>
        <w:rPr>
          <w:rFonts w:ascii="宋体" w:hAnsi="宋体"/>
          <w:color w:val="auto"/>
          <w:sz w:val="24"/>
          <w:szCs w:val="24"/>
          <w:highlight w:val="none"/>
        </w:rPr>
        <w:t>______</w:t>
      </w:r>
      <w:r>
        <w:rPr>
          <w:rFonts w:ascii="宋体" w:hAnsi="宋体"/>
          <w:color w:val="auto"/>
          <w:sz w:val="24"/>
          <w:szCs w:val="24"/>
          <w:highlight w:val="none"/>
          <w:u w:val="single"/>
        </w:rPr>
        <w:t>_     _</w:t>
      </w:r>
      <w:r>
        <w:rPr>
          <w:rFonts w:ascii="宋体" w:hAnsi="宋体"/>
          <w:color w:val="auto"/>
          <w:sz w:val="24"/>
          <w:szCs w:val="24"/>
          <w:highlight w:val="none"/>
        </w:rPr>
        <w:t>_</w:t>
      </w:r>
      <w:r>
        <w:rPr>
          <w:rFonts w:hint="eastAsia" w:ascii="宋体" w:hAnsi="宋体"/>
          <w:color w:val="auto"/>
          <w:sz w:val="24"/>
          <w:szCs w:val="24"/>
          <w:highlight w:val="none"/>
        </w:rPr>
        <w:t>（姓名）系</w:t>
      </w:r>
      <w:r>
        <w:rPr>
          <w:rFonts w:ascii="宋体" w:hAnsi="宋体"/>
          <w:color w:val="auto"/>
          <w:sz w:val="24"/>
          <w:szCs w:val="24"/>
          <w:highlight w:val="none"/>
        </w:rPr>
        <w:t>______</w:t>
      </w:r>
      <w:r>
        <w:rPr>
          <w:rFonts w:ascii="宋体" w:hAnsi="宋体"/>
          <w:color w:val="auto"/>
          <w:sz w:val="24"/>
          <w:szCs w:val="24"/>
          <w:highlight w:val="none"/>
          <w:u w:val="single"/>
        </w:rPr>
        <w:t>_     _</w:t>
      </w:r>
      <w:r>
        <w:rPr>
          <w:rFonts w:ascii="宋体" w:hAnsi="宋体"/>
          <w:color w:val="auto"/>
          <w:sz w:val="24"/>
          <w:szCs w:val="24"/>
          <w:highlight w:val="none"/>
        </w:rPr>
        <w:t>_</w:t>
      </w: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响应</w:t>
      </w:r>
      <w:r>
        <w:rPr>
          <w:rFonts w:hint="eastAsia" w:ascii="宋体" w:hAnsi="宋体"/>
          <w:color w:val="auto"/>
          <w:sz w:val="24"/>
          <w:szCs w:val="24"/>
          <w:highlight w:val="none"/>
        </w:rPr>
        <w:t>人名称）的法定代表人，现授权委托本单位在职职工（姓名）以我方的名义参加</w:t>
      </w:r>
      <w:r>
        <w:rPr>
          <w:rFonts w:hint="eastAsia" w:ascii="宋体"/>
          <w:color w:val="auto"/>
          <w:sz w:val="24"/>
          <w:szCs w:val="24"/>
          <w:highlight w:val="none"/>
          <w:u w:val="single"/>
        </w:rPr>
        <w:t xml:space="preserve">          </w:t>
      </w:r>
      <w:r>
        <w:rPr>
          <w:rFonts w:hint="eastAsia" w:ascii="宋体" w:hAnsi="宋体"/>
          <w:color w:val="auto"/>
          <w:sz w:val="24"/>
          <w:szCs w:val="24"/>
          <w:highlight w:val="none"/>
        </w:rPr>
        <w:t>项目的投标活动，并代表我方全权办理针对上述项目的投标、开标、评标、签约等具体事务和签署相关文件。</w:t>
      </w:r>
    </w:p>
    <w:p>
      <w:pPr>
        <w:snapToGrid w:val="0"/>
        <w:spacing w:before="120" w:beforeLines="50" w:after="120" w:afterLines="50" w:line="520" w:lineRule="exact"/>
        <w:rPr>
          <w:rFonts w:ascii="宋体"/>
          <w:color w:val="auto"/>
          <w:sz w:val="24"/>
          <w:szCs w:val="24"/>
          <w:highlight w:val="none"/>
        </w:rPr>
      </w:pPr>
      <w:r>
        <w:rPr>
          <w:rFonts w:hint="eastAsia" w:ascii="宋体" w:hAnsi="宋体"/>
          <w:color w:val="auto"/>
          <w:sz w:val="24"/>
          <w:szCs w:val="24"/>
          <w:highlight w:val="none"/>
        </w:rPr>
        <w:t>我方对被授权人的签名事项负全部责任。</w:t>
      </w:r>
    </w:p>
    <w:p>
      <w:pPr>
        <w:snapToGrid w:val="0"/>
        <w:spacing w:before="120" w:beforeLines="50" w:after="120" w:afterLines="50" w:line="520" w:lineRule="exact"/>
        <w:ind w:firstLine="480"/>
        <w:rPr>
          <w:rFonts w:ascii="宋体"/>
          <w:color w:val="auto"/>
          <w:sz w:val="24"/>
          <w:szCs w:val="24"/>
          <w:highlight w:val="none"/>
        </w:rPr>
      </w:pPr>
      <w:r>
        <w:rPr>
          <w:rFonts w:hint="eastAsia" w:ascii="宋体" w:hAnsi="宋体"/>
          <w:color w:val="auto"/>
          <w:sz w:val="24"/>
          <w:szCs w:val="24"/>
          <w:highlight w:val="none"/>
          <w:u w:val="single"/>
        </w:rPr>
        <w:t>在撤销授权的书面通知以前，本授权书一直有效。</w:t>
      </w:r>
      <w:r>
        <w:rPr>
          <w:rFonts w:hint="eastAsia" w:ascii="宋体" w:hAnsi="宋体"/>
          <w:color w:val="auto"/>
          <w:sz w:val="24"/>
          <w:szCs w:val="24"/>
          <w:highlight w:val="none"/>
        </w:rPr>
        <w:t>被授权人在授权书有效期内签署的所有文件不因授权的撤销而失效。</w:t>
      </w:r>
    </w:p>
    <w:p>
      <w:pPr>
        <w:snapToGrid w:val="0"/>
        <w:spacing w:before="120" w:beforeLines="50" w:after="120" w:afterLines="50" w:line="520" w:lineRule="exact"/>
        <w:ind w:firstLine="480"/>
        <w:rPr>
          <w:rFonts w:ascii="宋体"/>
          <w:color w:val="auto"/>
          <w:sz w:val="24"/>
          <w:szCs w:val="24"/>
          <w:highlight w:val="none"/>
        </w:rPr>
      </w:pPr>
      <w:r>
        <w:rPr>
          <w:rFonts w:hint="eastAsia" w:ascii="宋体" w:hAnsi="宋体"/>
          <w:color w:val="auto"/>
          <w:sz w:val="24"/>
          <w:szCs w:val="24"/>
          <w:highlight w:val="none"/>
        </w:rPr>
        <w:t>被授权人无转委托权，特此委托。</w:t>
      </w:r>
    </w:p>
    <w:p>
      <w:pPr>
        <w:snapToGrid w:val="0"/>
        <w:spacing w:before="120" w:beforeLines="50" w:after="120" w:afterLines="50" w:line="520" w:lineRule="exact"/>
        <w:rPr>
          <w:rFonts w:ascii="宋体"/>
          <w:color w:val="auto"/>
          <w:sz w:val="24"/>
          <w:szCs w:val="24"/>
          <w:highlight w:val="none"/>
          <w:u w:val="single"/>
        </w:rPr>
      </w:pPr>
      <w:r>
        <w:rPr>
          <w:rFonts w:hint="eastAsia" w:ascii="宋体" w:hAnsi="宋体"/>
          <w:color w:val="auto"/>
          <w:sz w:val="24"/>
          <w:szCs w:val="24"/>
          <w:highlight w:val="none"/>
        </w:rPr>
        <w:t>被授权人签名：法定代表人签名：</w:t>
      </w:r>
    </w:p>
    <w:p>
      <w:pPr>
        <w:snapToGrid w:val="0"/>
        <w:spacing w:before="120" w:beforeLines="50" w:after="120" w:afterLines="50" w:line="520" w:lineRule="exact"/>
        <w:ind w:firstLine="960" w:firstLineChars="400"/>
        <w:rPr>
          <w:rFonts w:ascii="宋体"/>
          <w:color w:val="auto"/>
          <w:sz w:val="24"/>
          <w:szCs w:val="24"/>
          <w:highlight w:val="none"/>
        </w:rPr>
      </w:pPr>
      <w:r>
        <w:rPr>
          <w:rFonts w:hint="eastAsia" w:ascii="宋体" w:hAnsi="宋体"/>
          <w:color w:val="auto"/>
          <w:sz w:val="24"/>
          <w:szCs w:val="24"/>
          <w:highlight w:val="none"/>
        </w:rPr>
        <w:t>职务：职务：</w:t>
      </w:r>
    </w:p>
    <w:p>
      <w:pPr>
        <w:snapToGrid w:val="0"/>
        <w:spacing w:before="120" w:beforeLines="50" w:after="120" w:afterLines="50" w:line="520" w:lineRule="exact"/>
        <w:rPr>
          <w:rFonts w:ascii="宋体"/>
          <w:b/>
          <w:color w:val="auto"/>
          <w:sz w:val="24"/>
          <w:szCs w:val="24"/>
          <w:highlight w:val="none"/>
        </w:rPr>
      </w:pPr>
      <w:r>
        <w:rPr>
          <w:rFonts w:hint="eastAsia" w:ascii="宋体" w:hAnsi="宋体"/>
          <w:color w:val="auto"/>
          <w:sz w:val="24"/>
          <w:szCs w:val="24"/>
          <w:highlight w:val="none"/>
        </w:rPr>
        <w:t>被授权人身份证号码：</w:t>
      </w:r>
      <w:r>
        <w:rPr>
          <w:rFonts w:hint="eastAsia" w:ascii="宋体" w:hAnsi="宋体"/>
          <w:color w:val="auto"/>
          <w:sz w:val="24"/>
          <w:szCs w:val="24"/>
          <w:highlight w:val="none"/>
          <w:u w:val="single"/>
        </w:rPr>
        <w:t>（</w:t>
      </w:r>
      <w:r>
        <w:rPr>
          <w:rFonts w:hint="eastAsia" w:ascii="宋体" w:hAnsi="宋体"/>
          <w:b/>
          <w:color w:val="auto"/>
          <w:spacing w:val="-4"/>
          <w:sz w:val="24"/>
          <w:szCs w:val="24"/>
          <w:highlight w:val="none"/>
        </w:rPr>
        <w:t>附被授权人是本单位在职职工的有效身份证明，如劳动合同、社会保险等）</w:t>
      </w:r>
    </w:p>
    <w:p>
      <w:pPr>
        <w:snapToGrid w:val="0"/>
        <w:spacing w:before="120" w:beforeLines="50" w:after="50" w:line="520" w:lineRule="exact"/>
        <w:ind w:firstLine="6120" w:firstLineChars="2550"/>
        <w:rPr>
          <w:rFonts w:ascii="宋体"/>
          <w:color w:val="auto"/>
          <w:sz w:val="24"/>
          <w:szCs w:val="24"/>
          <w:highlight w:val="none"/>
        </w:rPr>
      </w:pPr>
    </w:p>
    <w:p>
      <w:pPr>
        <w:snapToGrid w:val="0"/>
        <w:spacing w:before="120" w:beforeLines="50" w:after="50" w:line="520" w:lineRule="exact"/>
        <w:ind w:firstLine="6120" w:firstLineChars="2550"/>
        <w:rPr>
          <w:rFonts w:ascii="宋体"/>
          <w:color w:val="auto"/>
          <w:sz w:val="24"/>
          <w:szCs w:val="24"/>
          <w:highlight w:val="none"/>
        </w:rPr>
      </w:pPr>
      <w:r>
        <w:rPr>
          <w:rFonts w:hint="eastAsia" w:ascii="宋体" w:hAnsi="宋体"/>
          <w:color w:val="auto"/>
          <w:sz w:val="24"/>
          <w:szCs w:val="24"/>
          <w:highlight w:val="none"/>
        </w:rPr>
        <w:t>投标人公章：</w:t>
      </w:r>
    </w:p>
    <w:p>
      <w:pPr>
        <w:snapToGrid w:val="0"/>
        <w:spacing w:before="120" w:beforeLines="50" w:after="50" w:line="520" w:lineRule="exact"/>
        <w:jc w:val="center"/>
        <w:rPr>
          <w:rFonts w:ascii="宋体"/>
          <w:color w:val="auto"/>
          <w:sz w:val="24"/>
          <w:szCs w:val="24"/>
          <w:highlight w:val="none"/>
        </w:rPr>
      </w:pPr>
      <w:r>
        <w:rPr>
          <w:rFonts w:hint="eastAsia" w:ascii="宋体" w:hAnsi="宋体"/>
          <w:color w:val="auto"/>
          <w:sz w:val="24"/>
          <w:szCs w:val="24"/>
          <w:highlight w:val="none"/>
        </w:rPr>
        <w:t xml:space="preserve">                               年   月    日</w:t>
      </w:r>
    </w:p>
    <w:tbl>
      <w:tblPr>
        <w:tblStyle w:val="33"/>
        <w:tblpPr w:leftFromText="180" w:rightFromText="180" w:vertAnchor="text" w:tblpXSpec="center" w:tblpY="1"/>
        <w:tblW w:w="67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58" w:hRule="atLeast"/>
        </w:trPr>
        <w:tc>
          <w:tcPr>
            <w:tcW w:w="6722" w:type="dxa"/>
            <w:vAlign w:val="center"/>
          </w:tcPr>
          <w:p>
            <w:pPr>
              <w:pStyle w:val="16"/>
              <w:spacing w:before="120" w:line="520" w:lineRule="exact"/>
              <w:jc w:val="center"/>
              <w:rPr>
                <w:b/>
                <w:color w:val="auto"/>
                <w:kern w:val="2"/>
                <w:sz w:val="24"/>
                <w:szCs w:val="24"/>
                <w:highlight w:val="none"/>
              </w:rPr>
            </w:pPr>
            <w:r>
              <w:rPr>
                <w:rFonts w:hint="eastAsia"/>
                <w:color w:val="auto"/>
                <w:kern w:val="2"/>
                <w:sz w:val="24"/>
                <w:szCs w:val="24"/>
                <w:highlight w:val="none"/>
              </w:rPr>
              <w:t>（粘贴授权代表身份证复印件或影印件）</w:t>
            </w:r>
          </w:p>
        </w:tc>
      </w:tr>
    </w:tbl>
    <w:p>
      <w:pPr>
        <w:pStyle w:val="16"/>
        <w:adjustRightInd w:val="0"/>
        <w:snapToGrid w:val="0"/>
        <w:spacing w:before="120" w:line="520" w:lineRule="exact"/>
        <w:jc w:val="center"/>
        <w:rPr>
          <w:b/>
          <w:color w:val="auto"/>
          <w:sz w:val="24"/>
          <w:szCs w:val="24"/>
          <w:highlight w:val="none"/>
        </w:rPr>
      </w:pPr>
    </w:p>
    <w:p>
      <w:pPr>
        <w:pStyle w:val="16"/>
        <w:snapToGrid w:val="0"/>
        <w:spacing w:before="120" w:line="520" w:lineRule="exact"/>
        <w:rPr>
          <w:rFonts w:cs="Arial"/>
          <w:b/>
          <w:color w:val="auto"/>
          <w:sz w:val="24"/>
          <w:szCs w:val="24"/>
          <w:highlight w:val="none"/>
          <w:u w:val="thick"/>
        </w:rPr>
      </w:pPr>
    </w:p>
    <w:p>
      <w:pPr>
        <w:pStyle w:val="16"/>
        <w:snapToGrid w:val="0"/>
        <w:spacing w:before="120" w:line="520" w:lineRule="exact"/>
        <w:rPr>
          <w:rFonts w:cs="Arial"/>
          <w:b/>
          <w:color w:val="auto"/>
          <w:sz w:val="24"/>
          <w:szCs w:val="24"/>
          <w:highlight w:val="none"/>
          <w:u w:val="thick"/>
        </w:rPr>
      </w:pPr>
    </w:p>
    <w:p>
      <w:pPr>
        <w:widowControl/>
        <w:spacing w:line="520" w:lineRule="exact"/>
        <w:jc w:val="left"/>
        <w:rPr>
          <w:rFonts w:ascii="宋体" w:cs="Courier New"/>
          <w:color w:val="auto"/>
          <w:kern w:val="0"/>
          <w:sz w:val="24"/>
          <w:szCs w:val="24"/>
          <w:highlight w:val="none"/>
        </w:rPr>
      </w:pPr>
    </w:p>
    <w:p>
      <w:pPr>
        <w:widowControl/>
        <w:spacing w:line="520" w:lineRule="exact"/>
        <w:jc w:val="left"/>
        <w:rPr>
          <w:rFonts w:ascii="宋体" w:cs="Courier New"/>
          <w:color w:val="auto"/>
          <w:kern w:val="0"/>
          <w:sz w:val="24"/>
          <w:szCs w:val="24"/>
          <w:highlight w:val="none"/>
        </w:rPr>
        <w:sectPr>
          <w:headerReference r:id="rId6" w:type="default"/>
          <w:footerReference r:id="rId7" w:type="default"/>
          <w:pgSz w:w="11906" w:h="16838"/>
          <w:pgMar w:top="1304" w:right="1531" w:bottom="1304" w:left="1531" w:header="1304" w:footer="1304" w:gutter="0"/>
          <w:cols w:space="720" w:num="1"/>
        </w:sectPr>
      </w:pPr>
    </w:p>
    <w:p>
      <w:pPr>
        <w:snapToGrid w:val="0"/>
        <w:spacing w:before="50" w:after="120" w:afterLines="50" w:line="520" w:lineRule="exact"/>
        <w:jc w:val="left"/>
        <w:rPr>
          <w:rFonts w:ascii="宋体"/>
          <w:color w:val="auto"/>
          <w:sz w:val="24"/>
          <w:szCs w:val="24"/>
          <w:highlight w:val="none"/>
        </w:rPr>
      </w:pPr>
      <w:r>
        <w:rPr>
          <w:rFonts w:hint="eastAsia" w:ascii="宋体" w:hAnsi="宋体"/>
          <w:b/>
          <w:color w:val="auto"/>
          <w:sz w:val="24"/>
          <w:szCs w:val="24"/>
          <w:highlight w:val="none"/>
        </w:rPr>
        <w:t>1.1.</w:t>
      </w:r>
      <w:r>
        <w:rPr>
          <w:rFonts w:hint="eastAsia" w:ascii="宋体" w:hAnsi="宋体"/>
          <w:b/>
          <w:color w:val="auto"/>
          <w:sz w:val="24"/>
          <w:szCs w:val="24"/>
          <w:highlight w:val="none"/>
          <w:lang w:val="en-US" w:eastAsia="zh-CN"/>
        </w:rPr>
        <w:t>8</w:t>
      </w:r>
      <w:r>
        <w:rPr>
          <w:rFonts w:hint="eastAsia" w:ascii="宋体" w:hAnsi="宋体"/>
          <w:b/>
          <w:color w:val="auto"/>
          <w:sz w:val="24"/>
          <w:szCs w:val="24"/>
          <w:highlight w:val="none"/>
        </w:rPr>
        <w:t>、</w:t>
      </w:r>
      <w:r>
        <w:rPr>
          <w:rFonts w:hint="eastAsia" w:ascii="宋体" w:hAnsi="宋体"/>
          <w:b/>
          <w:color w:val="auto"/>
          <w:sz w:val="24"/>
          <w:szCs w:val="24"/>
          <w:highlight w:val="none"/>
          <w:lang w:val="en-US" w:eastAsia="zh-CN"/>
        </w:rPr>
        <w:t>响应</w:t>
      </w:r>
      <w:r>
        <w:rPr>
          <w:rFonts w:hint="eastAsia" w:ascii="宋体" w:hAnsi="宋体"/>
          <w:b/>
          <w:color w:val="auto"/>
          <w:sz w:val="24"/>
          <w:szCs w:val="24"/>
          <w:highlight w:val="none"/>
        </w:rPr>
        <w:t>人的类似成功案例的业绩证明文件：</w:t>
      </w:r>
    </w:p>
    <w:p>
      <w:pPr>
        <w:pStyle w:val="16"/>
        <w:adjustRightInd w:val="0"/>
        <w:snapToGrid w:val="0"/>
        <w:spacing w:before="120" w:line="520" w:lineRule="exact"/>
        <w:ind w:firstLine="420"/>
        <w:jc w:val="left"/>
        <w:rPr>
          <w:b/>
          <w:color w:val="auto"/>
          <w:sz w:val="24"/>
          <w:szCs w:val="24"/>
          <w:highlight w:val="none"/>
        </w:rPr>
      </w:pPr>
      <w:r>
        <w:rPr>
          <w:rFonts w:hint="eastAsia" w:hAnsi="宋体"/>
          <w:color w:val="auto"/>
          <w:sz w:val="24"/>
          <w:szCs w:val="24"/>
          <w:highlight w:val="none"/>
          <w:lang w:val="en-US" w:eastAsia="zh-CN"/>
        </w:rPr>
        <w:t>响应</w:t>
      </w:r>
      <w:r>
        <w:rPr>
          <w:rFonts w:hint="eastAsia" w:hAnsi="宋体"/>
          <w:color w:val="auto"/>
          <w:sz w:val="24"/>
          <w:szCs w:val="24"/>
          <w:highlight w:val="none"/>
        </w:rPr>
        <w:t>人同类项目实施情况一览表格式：（要求提供合同复印件，不允许只提供此表）</w:t>
      </w:r>
    </w:p>
    <w:tbl>
      <w:tblPr>
        <w:tblStyle w:val="33"/>
        <w:tblW w:w="13892" w:type="dxa"/>
        <w:tblInd w:w="10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1"/>
        <w:gridCol w:w="3077"/>
        <w:gridCol w:w="2268"/>
        <w:gridCol w:w="2268"/>
        <w:gridCol w:w="2551"/>
        <w:gridCol w:w="297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26" w:hRule="atLeast"/>
        </w:trPr>
        <w:tc>
          <w:tcPr>
            <w:tcW w:w="751" w:type="dxa"/>
            <w:vAlign w:val="center"/>
          </w:tcPr>
          <w:p>
            <w:pPr>
              <w:pStyle w:val="16"/>
              <w:adjustRightInd w:val="0"/>
              <w:snapToGrid w:val="0"/>
              <w:spacing w:before="120" w:line="520" w:lineRule="exact"/>
              <w:jc w:val="center"/>
              <w:rPr>
                <w:b/>
                <w:color w:val="auto"/>
                <w:kern w:val="2"/>
                <w:sz w:val="24"/>
                <w:szCs w:val="24"/>
                <w:highlight w:val="none"/>
              </w:rPr>
            </w:pPr>
            <w:r>
              <w:rPr>
                <w:rFonts w:hint="eastAsia"/>
                <w:color w:val="auto"/>
                <w:kern w:val="2"/>
                <w:sz w:val="24"/>
                <w:szCs w:val="24"/>
                <w:highlight w:val="none"/>
              </w:rPr>
              <w:t>序号</w:t>
            </w:r>
          </w:p>
        </w:tc>
        <w:tc>
          <w:tcPr>
            <w:tcW w:w="3077" w:type="dxa"/>
            <w:tcBorders>
              <w:right w:val="single" w:color="auto" w:sz="4" w:space="0"/>
            </w:tcBorders>
            <w:vAlign w:val="center"/>
          </w:tcPr>
          <w:p>
            <w:pPr>
              <w:pStyle w:val="16"/>
              <w:adjustRightInd w:val="0"/>
              <w:snapToGrid w:val="0"/>
              <w:spacing w:before="120" w:line="520" w:lineRule="exact"/>
              <w:jc w:val="center"/>
              <w:rPr>
                <w:b/>
                <w:color w:val="auto"/>
                <w:kern w:val="2"/>
                <w:sz w:val="24"/>
                <w:szCs w:val="24"/>
                <w:highlight w:val="none"/>
              </w:rPr>
            </w:pPr>
            <w:r>
              <w:rPr>
                <w:rFonts w:hint="eastAsia"/>
                <w:color w:val="auto"/>
                <w:kern w:val="2"/>
                <w:sz w:val="24"/>
                <w:szCs w:val="24"/>
                <w:highlight w:val="none"/>
              </w:rPr>
              <w:t>项目名称</w:t>
            </w:r>
          </w:p>
        </w:tc>
        <w:tc>
          <w:tcPr>
            <w:tcW w:w="2268" w:type="dxa"/>
            <w:tcBorders>
              <w:left w:val="single" w:color="auto" w:sz="4" w:space="0"/>
            </w:tcBorders>
            <w:vAlign w:val="center"/>
          </w:tcPr>
          <w:p>
            <w:pPr>
              <w:pStyle w:val="16"/>
              <w:adjustRightInd w:val="0"/>
              <w:snapToGrid w:val="0"/>
              <w:spacing w:before="120" w:line="520" w:lineRule="exact"/>
              <w:jc w:val="center"/>
              <w:rPr>
                <w:b/>
                <w:color w:val="auto"/>
                <w:kern w:val="2"/>
                <w:sz w:val="24"/>
                <w:szCs w:val="24"/>
                <w:highlight w:val="none"/>
              </w:rPr>
            </w:pPr>
            <w:r>
              <w:rPr>
                <w:rFonts w:hint="eastAsia"/>
                <w:color w:val="auto"/>
                <w:kern w:val="2"/>
                <w:sz w:val="24"/>
                <w:szCs w:val="24"/>
                <w:highlight w:val="none"/>
              </w:rPr>
              <w:t>用户名称</w:t>
            </w:r>
          </w:p>
        </w:tc>
        <w:tc>
          <w:tcPr>
            <w:tcW w:w="2268" w:type="dxa"/>
            <w:vAlign w:val="center"/>
          </w:tcPr>
          <w:p>
            <w:pPr>
              <w:pStyle w:val="16"/>
              <w:adjustRightInd w:val="0"/>
              <w:snapToGrid w:val="0"/>
              <w:spacing w:before="120" w:line="520" w:lineRule="exact"/>
              <w:jc w:val="center"/>
              <w:rPr>
                <w:b/>
                <w:color w:val="auto"/>
                <w:kern w:val="2"/>
                <w:sz w:val="24"/>
                <w:szCs w:val="24"/>
                <w:highlight w:val="none"/>
              </w:rPr>
            </w:pPr>
            <w:r>
              <w:rPr>
                <w:rFonts w:hint="eastAsia"/>
                <w:color w:val="auto"/>
                <w:kern w:val="2"/>
                <w:sz w:val="24"/>
                <w:szCs w:val="24"/>
                <w:highlight w:val="none"/>
              </w:rPr>
              <w:t>联系人</w:t>
            </w:r>
          </w:p>
        </w:tc>
        <w:tc>
          <w:tcPr>
            <w:tcW w:w="2551" w:type="dxa"/>
            <w:vAlign w:val="center"/>
          </w:tcPr>
          <w:p>
            <w:pPr>
              <w:pStyle w:val="16"/>
              <w:adjustRightInd w:val="0"/>
              <w:snapToGrid w:val="0"/>
              <w:spacing w:before="120" w:line="520" w:lineRule="exact"/>
              <w:jc w:val="center"/>
              <w:rPr>
                <w:b/>
                <w:color w:val="auto"/>
                <w:kern w:val="2"/>
                <w:sz w:val="24"/>
                <w:szCs w:val="24"/>
                <w:highlight w:val="none"/>
              </w:rPr>
            </w:pPr>
            <w:r>
              <w:rPr>
                <w:rFonts w:hint="eastAsia"/>
                <w:color w:val="auto"/>
                <w:kern w:val="2"/>
                <w:sz w:val="24"/>
                <w:szCs w:val="24"/>
                <w:highlight w:val="none"/>
              </w:rPr>
              <w:t>联系电话</w:t>
            </w:r>
          </w:p>
        </w:tc>
        <w:tc>
          <w:tcPr>
            <w:tcW w:w="2977" w:type="dxa"/>
            <w:vAlign w:val="center"/>
          </w:tcPr>
          <w:p>
            <w:pPr>
              <w:pStyle w:val="16"/>
              <w:adjustRightInd w:val="0"/>
              <w:snapToGrid w:val="0"/>
              <w:spacing w:before="120" w:line="520" w:lineRule="exact"/>
              <w:ind w:firstLine="440"/>
              <w:jc w:val="center"/>
              <w:rPr>
                <w:b/>
                <w:color w:val="auto"/>
                <w:kern w:val="2"/>
                <w:sz w:val="24"/>
                <w:szCs w:val="24"/>
                <w:highlight w:val="none"/>
              </w:rPr>
            </w:pPr>
            <w:r>
              <w:rPr>
                <w:rFonts w:hint="eastAsia"/>
                <w:color w:val="auto"/>
                <w:kern w:val="2"/>
                <w:sz w:val="24"/>
                <w:szCs w:val="24"/>
                <w:highlight w:val="none"/>
              </w:rPr>
              <w:t>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26" w:hRule="atLeast"/>
        </w:trPr>
        <w:tc>
          <w:tcPr>
            <w:tcW w:w="751" w:type="dxa"/>
            <w:vAlign w:val="center"/>
          </w:tcPr>
          <w:p>
            <w:pPr>
              <w:pStyle w:val="16"/>
              <w:adjustRightInd w:val="0"/>
              <w:snapToGrid w:val="0"/>
              <w:spacing w:before="120" w:line="520" w:lineRule="exact"/>
              <w:ind w:firstLine="440"/>
              <w:jc w:val="center"/>
              <w:rPr>
                <w:b/>
                <w:color w:val="auto"/>
                <w:kern w:val="2"/>
                <w:sz w:val="24"/>
                <w:szCs w:val="24"/>
                <w:highlight w:val="none"/>
              </w:rPr>
            </w:pPr>
          </w:p>
        </w:tc>
        <w:tc>
          <w:tcPr>
            <w:tcW w:w="3077" w:type="dxa"/>
            <w:tcBorders>
              <w:right w:val="single" w:color="auto" w:sz="4" w:space="0"/>
            </w:tcBorders>
            <w:vAlign w:val="center"/>
          </w:tcPr>
          <w:p>
            <w:pPr>
              <w:pStyle w:val="16"/>
              <w:adjustRightInd w:val="0"/>
              <w:snapToGrid w:val="0"/>
              <w:spacing w:before="120" w:line="520" w:lineRule="exact"/>
              <w:ind w:firstLine="440"/>
              <w:jc w:val="center"/>
              <w:rPr>
                <w:b/>
                <w:color w:val="auto"/>
                <w:kern w:val="2"/>
                <w:sz w:val="24"/>
                <w:szCs w:val="24"/>
                <w:highlight w:val="none"/>
              </w:rPr>
            </w:pPr>
          </w:p>
        </w:tc>
        <w:tc>
          <w:tcPr>
            <w:tcW w:w="2268" w:type="dxa"/>
            <w:tcBorders>
              <w:left w:val="single" w:color="auto" w:sz="4" w:space="0"/>
            </w:tcBorders>
            <w:vAlign w:val="center"/>
          </w:tcPr>
          <w:p>
            <w:pPr>
              <w:pStyle w:val="16"/>
              <w:adjustRightInd w:val="0"/>
              <w:snapToGrid w:val="0"/>
              <w:spacing w:before="120" w:line="520" w:lineRule="exact"/>
              <w:ind w:firstLine="440"/>
              <w:jc w:val="center"/>
              <w:rPr>
                <w:b/>
                <w:color w:val="auto"/>
                <w:kern w:val="2"/>
                <w:sz w:val="24"/>
                <w:szCs w:val="24"/>
                <w:highlight w:val="none"/>
              </w:rPr>
            </w:pPr>
          </w:p>
        </w:tc>
        <w:tc>
          <w:tcPr>
            <w:tcW w:w="2268" w:type="dxa"/>
            <w:vAlign w:val="center"/>
          </w:tcPr>
          <w:p>
            <w:pPr>
              <w:pStyle w:val="16"/>
              <w:adjustRightInd w:val="0"/>
              <w:snapToGrid w:val="0"/>
              <w:spacing w:before="120" w:line="520" w:lineRule="exact"/>
              <w:ind w:firstLine="440"/>
              <w:jc w:val="center"/>
              <w:rPr>
                <w:b/>
                <w:color w:val="auto"/>
                <w:kern w:val="2"/>
                <w:sz w:val="24"/>
                <w:szCs w:val="24"/>
                <w:highlight w:val="none"/>
              </w:rPr>
            </w:pPr>
          </w:p>
        </w:tc>
        <w:tc>
          <w:tcPr>
            <w:tcW w:w="2551" w:type="dxa"/>
            <w:vAlign w:val="center"/>
          </w:tcPr>
          <w:p>
            <w:pPr>
              <w:pStyle w:val="16"/>
              <w:adjustRightInd w:val="0"/>
              <w:snapToGrid w:val="0"/>
              <w:spacing w:before="120" w:line="520" w:lineRule="exact"/>
              <w:ind w:firstLine="440"/>
              <w:jc w:val="center"/>
              <w:rPr>
                <w:b/>
                <w:color w:val="auto"/>
                <w:kern w:val="2"/>
                <w:sz w:val="24"/>
                <w:szCs w:val="24"/>
                <w:highlight w:val="none"/>
              </w:rPr>
            </w:pPr>
          </w:p>
        </w:tc>
        <w:tc>
          <w:tcPr>
            <w:tcW w:w="2977" w:type="dxa"/>
            <w:vAlign w:val="center"/>
          </w:tcPr>
          <w:p>
            <w:pPr>
              <w:pStyle w:val="16"/>
              <w:adjustRightInd w:val="0"/>
              <w:snapToGrid w:val="0"/>
              <w:spacing w:before="120" w:line="520" w:lineRule="exact"/>
              <w:ind w:firstLine="440"/>
              <w:jc w:val="center"/>
              <w:rPr>
                <w:b/>
                <w:color w:val="auto"/>
                <w:kern w:val="2"/>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06" w:hRule="atLeast"/>
        </w:trPr>
        <w:tc>
          <w:tcPr>
            <w:tcW w:w="751" w:type="dxa"/>
            <w:vAlign w:val="center"/>
          </w:tcPr>
          <w:p>
            <w:pPr>
              <w:pStyle w:val="16"/>
              <w:adjustRightInd w:val="0"/>
              <w:snapToGrid w:val="0"/>
              <w:spacing w:before="120" w:line="520" w:lineRule="exact"/>
              <w:ind w:firstLine="440"/>
              <w:jc w:val="center"/>
              <w:rPr>
                <w:b/>
                <w:color w:val="auto"/>
                <w:kern w:val="2"/>
                <w:sz w:val="24"/>
                <w:szCs w:val="24"/>
                <w:highlight w:val="none"/>
              </w:rPr>
            </w:pPr>
          </w:p>
        </w:tc>
        <w:tc>
          <w:tcPr>
            <w:tcW w:w="3077" w:type="dxa"/>
            <w:tcBorders>
              <w:right w:val="single" w:color="auto" w:sz="4" w:space="0"/>
            </w:tcBorders>
            <w:vAlign w:val="center"/>
          </w:tcPr>
          <w:p>
            <w:pPr>
              <w:pStyle w:val="16"/>
              <w:adjustRightInd w:val="0"/>
              <w:snapToGrid w:val="0"/>
              <w:spacing w:before="120" w:line="520" w:lineRule="exact"/>
              <w:ind w:firstLine="440"/>
              <w:jc w:val="center"/>
              <w:rPr>
                <w:b/>
                <w:color w:val="auto"/>
                <w:kern w:val="2"/>
                <w:sz w:val="24"/>
                <w:szCs w:val="24"/>
                <w:highlight w:val="none"/>
              </w:rPr>
            </w:pPr>
          </w:p>
        </w:tc>
        <w:tc>
          <w:tcPr>
            <w:tcW w:w="2268" w:type="dxa"/>
            <w:tcBorders>
              <w:left w:val="single" w:color="auto" w:sz="4" w:space="0"/>
            </w:tcBorders>
            <w:vAlign w:val="center"/>
          </w:tcPr>
          <w:p>
            <w:pPr>
              <w:pStyle w:val="16"/>
              <w:adjustRightInd w:val="0"/>
              <w:snapToGrid w:val="0"/>
              <w:spacing w:before="120" w:line="520" w:lineRule="exact"/>
              <w:ind w:firstLine="440"/>
              <w:jc w:val="center"/>
              <w:rPr>
                <w:b/>
                <w:color w:val="auto"/>
                <w:kern w:val="2"/>
                <w:sz w:val="24"/>
                <w:szCs w:val="24"/>
                <w:highlight w:val="none"/>
              </w:rPr>
            </w:pPr>
          </w:p>
        </w:tc>
        <w:tc>
          <w:tcPr>
            <w:tcW w:w="2268" w:type="dxa"/>
            <w:vAlign w:val="center"/>
          </w:tcPr>
          <w:p>
            <w:pPr>
              <w:pStyle w:val="16"/>
              <w:adjustRightInd w:val="0"/>
              <w:snapToGrid w:val="0"/>
              <w:spacing w:before="120" w:line="520" w:lineRule="exact"/>
              <w:ind w:firstLine="440"/>
              <w:jc w:val="center"/>
              <w:rPr>
                <w:b/>
                <w:color w:val="auto"/>
                <w:kern w:val="2"/>
                <w:sz w:val="24"/>
                <w:szCs w:val="24"/>
                <w:highlight w:val="none"/>
              </w:rPr>
            </w:pPr>
          </w:p>
        </w:tc>
        <w:tc>
          <w:tcPr>
            <w:tcW w:w="2551" w:type="dxa"/>
            <w:vAlign w:val="center"/>
          </w:tcPr>
          <w:p>
            <w:pPr>
              <w:pStyle w:val="16"/>
              <w:adjustRightInd w:val="0"/>
              <w:snapToGrid w:val="0"/>
              <w:spacing w:before="120" w:line="520" w:lineRule="exact"/>
              <w:ind w:firstLine="440"/>
              <w:jc w:val="center"/>
              <w:rPr>
                <w:b/>
                <w:color w:val="auto"/>
                <w:kern w:val="2"/>
                <w:sz w:val="24"/>
                <w:szCs w:val="24"/>
                <w:highlight w:val="none"/>
              </w:rPr>
            </w:pPr>
          </w:p>
        </w:tc>
        <w:tc>
          <w:tcPr>
            <w:tcW w:w="2977" w:type="dxa"/>
            <w:vAlign w:val="center"/>
          </w:tcPr>
          <w:p>
            <w:pPr>
              <w:pStyle w:val="16"/>
              <w:adjustRightInd w:val="0"/>
              <w:snapToGrid w:val="0"/>
              <w:spacing w:before="120" w:line="520" w:lineRule="exact"/>
              <w:ind w:firstLine="440"/>
              <w:jc w:val="center"/>
              <w:rPr>
                <w:b/>
                <w:color w:val="auto"/>
                <w:kern w:val="2"/>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26" w:hRule="atLeast"/>
        </w:trPr>
        <w:tc>
          <w:tcPr>
            <w:tcW w:w="751" w:type="dxa"/>
            <w:vAlign w:val="center"/>
          </w:tcPr>
          <w:p>
            <w:pPr>
              <w:pStyle w:val="16"/>
              <w:adjustRightInd w:val="0"/>
              <w:snapToGrid w:val="0"/>
              <w:spacing w:before="120" w:line="520" w:lineRule="exact"/>
              <w:ind w:firstLine="440"/>
              <w:jc w:val="center"/>
              <w:rPr>
                <w:b/>
                <w:color w:val="auto"/>
                <w:kern w:val="2"/>
                <w:sz w:val="24"/>
                <w:szCs w:val="24"/>
                <w:highlight w:val="none"/>
              </w:rPr>
            </w:pPr>
          </w:p>
        </w:tc>
        <w:tc>
          <w:tcPr>
            <w:tcW w:w="3077" w:type="dxa"/>
            <w:tcBorders>
              <w:right w:val="single" w:color="auto" w:sz="4" w:space="0"/>
            </w:tcBorders>
            <w:vAlign w:val="center"/>
          </w:tcPr>
          <w:p>
            <w:pPr>
              <w:pStyle w:val="16"/>
              <w:adjustRightInd w:val="0"/>
              <w:snapToGrid w:val="0"/>
              <w:spacing w:before="120" w:line="520" w:lineRule="exact"/>
              <w:ind w:firstLine="440"/>
              <w:jc w:val="center"/>
              <w:rPr>
                <w:b/>
                <w:color w:val="auto"/>
                <w:kern w:val="2"/>
                <w:sz w:val="24"/>
                <w:szCs w:val="24"/>
                <w:highlight w:val="none"/>
              </w:rPr>
            </w:pPr>
          </w:p>
        </w:tc>
        <w:tc>
          <w:tcPr>
            <w:tcW w:w="2268" w:type="dxa"/>
            <w:tcBorders>
              <w:left w:val="single" w:color="auto" w:sz="4" w:space="0"/>
            </w:tcBorders>
            <w:vAlign w:val="center"/>
          </w:tcPr>
          <w:p>
            <w:pPr>
              <w:pStyle w:val="16"/>
              <w:adjustRightInd w:val="0"/>
              <w:snapToGrid w:val="0"/>
              <w:spacing w:before="120" w:line="520" w:lineRule="exact"/>
              <w:ind w:firstLine="440"/>
              <w:jc w:val="center"/>
              <w:rPr>
                <w:b/>
                <w:color w:val="auto"/>
                <w:kern w:val="2"/>
                <w:sz w:val="24"/>
                <w:szCs w:val="24"/>
                <w:highlight w:val="none"/>
              </w:rPr>
            </w:pPr>
          </w:p>
        </w:tc>
        <w:tc>
          <w:tcPr>
            <w:tcW w:w="2268" w:type="dxa"/>
            <w:vAlign w:val="center"/>
          </w:tcPr>
          <w:p>
            <w:pPr>
              <w:pStyle w:val="16"/>
              <w:adjustRightInd w:val="0"/>
              <w:snapToGrid w:val="0"/>
              <w:spacing w:before="120" w:line="520" w:lineRule="exact"/>
              <w:ind w:firstLine="440"/>
              <w:jc w:val="center"/>
              <w:rPr>
                <w:b/>
                <w:color w:val="auto"/>
                <w:kern w:val="2"/>
                <w:sz w:val="24"/>
                <w:szCs w:val="24"/>
                <w:highlight w:val="none"/>
              </w:rPr>
            </w:pPr>
          </w:p>
        </w:tc>
        <w:tc>
          <w:tcPr>
            <w:tcW w:w="2551" w:type="dxa"/>
            <w:vAlign w:val="center"/>
          </w:tcPr>
          <w:p>
            <w:pPr>
              <w:pStyle w:val="16"/>
              <w:adjustRightInd w:val="0"/>
              <w:snapToGrid w:val="0"/>
              <w:spacing w:before="120" w:line="520" w:lineRule="exact"/>
              <w:ind w:firstLine="440"/>
              <w:jc w:val="center"/>
              <w:rPr>
                <w:b/>
                <w:color w:val="auto"/>
                <w:kern w:val="2"/>
                <w:sz w:val="24"/>
                <w:szCs w:val="24"/>
                <w:highlight w:val="none"/>
              </w:rPr>
            </w:pPr>
          </w:p>
        </w:tc>
        <w:tc>
          <w:tcPr>
            <w:tcW w:w="2977" w:type="dxa"/>
            <w:vAlign w:val="center"/>
          </w:tcPr>
          <w:p>
            <w:pPr>
              <w:pStyle w:val="16"/>
              <w:adjustRightInd w:val="0"/>
              <w:snapToGrid w:val="0"/>
              <w:spacing w:before="120" w:line="520" w:lineRule="exact"/>
              <w:ind w:firstLine="440"/>
              <w:jc w:val="center"/>
              <w:rPr>
                <w:b/>
                <w:color w:val="auto"/>
                <w:kern w:val="2"/>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26" w:hRule="atLeast"/>
        </w:trPr>
        <w:tc>
          <w:tcPr>
            <w:tcW w:w="751" w:type="dxa"/>
            <w:vAlign w:val="center"/>
          </w:tcPr>
          <w:p>
            <w:pPr>
              <w:pStyle w:val="16"/>
              <w:adjustRightInd w:val="0"/>
              <w:snapToGrid w:val="0"/>
              <w:spacing w:before="120" w:line="520" w:lineRule="exact"/>
              <w:ind w:firstLine="440"/>
              <w:jc w:val="center"/>
              <w:rPr>
                <w:b/>
                <w:color w:val="auto"/>
                <w:kern w:val="2"/>
                <w:sz w:val="24"/>
                <w:szCs w:val="24"/>
                <w:highlight w:val="none"/>
              </w:rPr>
            </w:pPr>
          </w:p>
        </w:tc>
        <w:tc>
          <w:tcPr>
            <w:tcW w:w="3077" w:type="dxa"/>
            <w:tcBorders>
              <w:right w:val="single" w:color="auto" w:sz="4" w:space="0"/>
            </w:tcBorders>
            <w:vAlign w:val="center"/>
          </w:tcPr>
          <w:p>
            <w:pPr>
              <w:pStyle w:val="16"/>
              <w:adjustRightInd w:val="0"/>
              <w:snapToGrid w:val="0"/>
              <w:spacing w:before="120" w:line="520" w:lineRule="exact"/>
              <w:ind w:firstLine="440"/>
              <w:jc w:val="center"/>
              <w:rPr>
                <w:b/>
                <w:color w:val="auto"/>
                <w:kern w:val="2"/>
                <w:sz w:val="24"/>
                <w:szCs w:val="24"/>
                <w:highlight w:val="none"/>
              </w:rPr>
            </w:pPr>
          </w:p>
        </w:tc>
        <w:tc>
          <w:tcPr>
            <w:tcW w:w="2268" w:type="dxa"/>
            <w:tcBorders>
              <w:left w:val="single" w:color="auto" w:sz="4" w:space="0"/>
            </w:tcBorders>
            <w:vAlign w:val="center"/>
          </w:tcPr>
          <w:p>
            <w:pPr>
              <w:pStyle w:val="16"/>
              <w:adjustRightInd w:val="0"/>
              <w:snapToGrid w:val="0"/>
              <w:spacing w:before="120" w:line="520" w:lineRule="exact"/>
              <w:ind w:firstLine="440"/>
              <w:jc w:val="center"/>
              <w:rPr>
                <w:b/>
                <w:color w:val="auto"/>
                <w:kern w:val="2"/>
                <w:sz w:val="24"/>
                <w:szCs w:val="24"/>
                <w:highlight w:val="none"/>
              </w:rPr>
            </w:pPr>
          </w:p>
        </w:tc>
        <w:tc>
          <w:tcPr>
            <w:tcW w:w="2268" w:type="dxa"/>
            <w:vAlign w:val="center"/>
          </w:tcPr>
          <w:p>
            <w:pPr>
              <w:pStyle w:val="16"/>
              <w:adjustRightInd w:val="0"/>
              <w:snapToGrid w:val="0"/>
              <w:spacing w:before="120" w:line="520" w:lineRule="exact"/>
              <w:ind w:firstLine="440"/>
              <w:jc w:val="center"/>
              <w:rPr>
                <w:b/>
                <w:color w:val="auto"/>
                <w:kern w:val="2"/>
                <w:sz w:val="24"/>
                <w:szCs w:val="24"/>
                <w:highlight w:val="none"/>
              </w:rPr>
            </w:pPr>
          </w:p>
        </w:tc>
        <w:tc>
          <w:tcPr>
            <w:tcW w:w="2551" w:type="dxa"/>
            <w:vAlign w:val="center"/>
          </w:tcPr>
          <w:p>
            <w:pPr>
              <w:pStyle w:val="16"/>
              <w:adjustRightInd w:val="0"/>
              <w:snapToGrid w:val="0"/>
              <w:spacing w:before="120" w:line="520" w:lineRule="exact"/>
              <w:ind w:firstLine="440"/>
              <w:jc w:val="center"/>
              <w:rPr>
                <w:b/>
                <w:color w:val="auto"/>
                <w:kern w:val="2"/>
                <w:sz w:val="24"/>
                <w:szCs w:val="24"/>
                <w:highlight w:val="none"/>
              </w:rPr>
            </w:pPr>
          </w:p>
        </w:tc>
        <w:tc>
          <w:tcPr>
            <w:tcW w:w="2977" w:type="dxa"/>
            <w:vAlign w:val="center"/>
          </w:tcPr>
          <w:p>
            <w:pPr>
              <w:pStyle w:val="16"/>
              <w:adjustRightInd w:val="0"/>
              <w:snapToGrid w:val="0"/>
              <w:spacing w:before="120" w:line="520" w:lineRule="exact"/>
              <w:ind w:firstLine="440"/>
              <w:jc w:val="center"/>
              <w:rPr>
                <w:b/>
                <w:color w:val="auto"/>
                <w:kern w:val="2"/>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06" w:hRule="atLeast"/>
        </w:trPr>
        <w:tc>
          <w:tcPr>
            <w:tcW w:w="751" w:type="dxa"/>
            <w:vAlign w:val="center"/>
          </w:tcPr>
          <w:p>
            <w:pPr>
              <w:pStyle w:val="16"/>
              <w:adjustRightInd w:val="0"/>
              <w:snapToGrid w:val="0"/>
              <w:spacing w:before="120" w:line="520" w:lineRule="exact"/>
              <w:ind w:firstLine="440"/>
              <w:jc w:val="center"/>
              <w:rPr>
                <w:b/>
                <w:color w:val="auto"/>
                <w:kern w:val="2"/>
                <w:sz w:val="24"/>
                <w:szCs w:val="24"/>
                <w:highlight w:val="none"/>
              </w:rPr>
            </w:pPr>
          </w:p>
        </w:tc>
        <w:tc>
          <w:tcPr>
            <w:tcW w:w="3077" w:type="dxa"/>
            <w:tcBorders>
              <w:right w:val="single" w:color="auto" w:sz="4" w:space="0"/>
            </w:tcBorders>
            <w:vAlign w:val="center"/>
          </w:tcPr>
          <w:p>
            <w:pPr>
              <w:pStyle w:val="16"/>
              <w:adjustRightInd w:val="0"/>
              <w:snapToGrid w:val="0"/>
              <w:spacing w:before="120" w:line="520" w:lineRule="exact"/>
              <w:ind w:firstLine="440"/>
              <w:jc w:val="center"/>
              <w:rPr>
                <w:b/>
                <w:color w:val="auto"/>
                <w:kern w:val="2"/>
                <w:sz w:val="24"/>
                <w:szCs w:val="24"/>
                <w:highlight w:val="none"/>
              </w:rPr>
            </w:pPr>
          </w:p>
        </w:tc>
        <w:tc>
          <w:tcPr>
            <w:tcW w:w="2268" w:type="dxa"/>
            <w:tcBorders>
              <w:left w:val="single" w:color="auto" w:sz="4" w:space="0"/>
            </w:tcBorders>
            <w:vAlign w:val="center"/>
          </w:tcPr>
          <w:p>
            <w:pPr>
              <w:pStyle w:val="16"/>
              <w:adjustRightInd w:val="0"/>
              <w:snapToGrid w:val="0"/>
              <w:spacing w:before="120" w:line="520" w:lineRule="exact"/>
              <w:ind w:firstLine="440"/>
              <w:jc w:val="center"/>
              <w:rPr>
                <w:b/>
                <w:color w:val="auto"/>
                <w:kern w:val="2"/>
                <w:sz w:val="24"/>
                <w:szCs w:val="24"/>
                <w:highlight w:val="none"/>
              </w:rPr>
            </w:pPr>
          </w:p>
        </w:tc>
        <w:tc>
          <w:tcPr>
            <w:tcW w:w="2268" w:type="dxa"/>
            <w:vAlign w:val="center"/>
          </w:tcPr>
          <w:p>
            <w:pPr>
              <w:pStyle w:val="16"/>
              <w:adjustRightInd w:val="0"/>
              <w:snapToGrid w:val="0"/>
              <w:spacing w:before="120" w:line="520" w:lineRule="exact"/>
              <w:ind w:firstLine="440"/>
              <w:jc w:val="center"/>
              <w:rPr>
                <w:b/>
                <w:color w:val="auto"/>
                <w:kern w:val="2"/>
                <w:sz w:val="24"/>
                <w:szCs w:val="24"/>
                <w:highlight w:val="none"/>
              </w:rPr>
            </w:pPr>
          </w:p>
        </w:tc>
        <w:tc>
          <w:tcPr>
            <w:tcW w:w="2551" w:type="dxa"/>
            <w:vAlign w:val="center"/>
          </w:tcPr>
          <w:p>
            <w:pPr>
              <w:pStyle w:val="16"/>
              <w:adjustRightInd w:val="0"/>
              <w:snapToGrid w:val="0"/>
              <w:spacing w:before="120" w:line="520" w:lineRule="exact"/>
              <w:ind w:firstLine="440"/>
              <w:jc w:val="center"/>
              <w:rPr>
                <w:b/>
                <w:color w:val="auto"/>
                <w:kern w:val="2"/>
                <w:sz w:val="24"/>
                <w:szCs w:val="24"/>
                <w:highlight w:val="none"/>
              </w:rPr>
            </w:pPr>
          </w:p>
        </w:tc>
        <w:tc>
          <w:tcPr>
            <w:tcW w:w="2977" w:type="dxa"/>
            <w:vAlign w:val="center"/>
          </w:tcPr>
          <w:p>
            <w:pPr>
              <w:pStyle w:val="16"/>
              <w:adjustRightInd w:val="0"/>
              <w:snapToGrid w:val="0"/>
              <w:spacing w:before="120" w:line="520" w:lineRule="exact"/>
              <w:ind w:firstLine="440"/>
              <w:jc w:val="center"/>
              <w:rPr>
                <w:b/>
                <w:color w:val="auto"/>
                <w:kern w:val="2"/>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26" w:hRule="atLeast"/>
        </w:trPr>
        <w:tc>
          <w:tcPr>
            <w:tcW w:w="751" w:type="dxa"/>
            <w:vAlign w:val="center"/>
          </w:tcPr>
          <w:p>
            <w:pPr>
              <w:pStyle w:val="16"/>
              <w:adjustRightInd w:val="0"/>
              <w:snapToGrid w:val="0"/>
              <w:spacing w:before="120" w:line="520" w:lineRule="exact"/>
              <w:ind w:firstLine="440"/>
              <w:jc w:val="center"/>
              <w:rPr>
                <w:b/>
                <w:color w:val="auto"/>
                <w:kern w:val="2"/>
                <w:sz w:val="24"/>
                <w:szCs w:val="24"/>
                <w:highlight w:val="none"/>
              </w:rPr>
            </w:pPr>
          </w:p>
        </w:tc>
        <w:tc>
          <w:tcPr>
            <w:tcW w:w="3077" w:type="dxa"/>
            <w:tcBorders>
              <w:right w:val="single" w:color="auto" w:sz="4" w:space="0"/>
            </w:tcBorders>
            <w:vAlign w:val="center"/>
          </w:tcPr>
          <w:p>
            <w:pPr>
              <w:pStyle w:val="16"/>
              <w:adjustRightInd w:val="0"/>
              <w:snapToGrid w:val="0"/>
              <w:spacing w:before="120" w:line="520" w:lineRule="exact"/>
              <w:ind w:firstLine="440"/>
              <w:jc w:val="center"/>
              <w:rPr>
                <w:b/>
                <w:color w:val="auto"/>
                <w:kern w:val="2"/>
                <w:sz w:val="24"/>
                <w:szCs w:val="24"/>
                <w:highlight w:val="none"/>
              </w:rPr>
            </w:pPr>
          </w:p>
        </w:tc>
        <w:tc>
          <w:tcPr>
            <w:tcW w:w="2268" w:type="dxa"/>
            <w:tcBorders>
              <w:left w:val="single" w:color="auto" w:sz="4" w:space="0"/>
            </w:tcBorders>
            <w:vAlign w:val="center"/>
          </w:tcPr>
          <w:p>
            <w:pPr>
              <w:pStyle w:val="16"/>
              <w:adjustRightInd w:val="0"/>
              <w:snapToGrid w:val="0"/>
              <w:spacing w:before="120" w:line="520" w:lineRule="exact"/>
              <w:ind w:firstLine="440"/>
              <w:jc w:val="center"/>
              <w:rPr>
                <w:b/>
                <w:color w:val="auto"/>
                <w:kern w:val="2"/>
                <w:sz w:val="24"/>
                <w:szCs w:val="24"/>
                <w:highlight w:val="none"/>
              </w:rPr>
            </w:pPr>
          </w:p>
        </w:tc>
        <w:tc>
          <w:tcPr>
            <w:tcW w:w="2268" w:type="dxa"/>
            <w:vAlign w:val="center"/>
          </w:tcPr>
          <w:p>
            <w:pPr>
              <w:pStyle w:val="16"/>
              <w:adjustRightInd w:val="0"/>
              <w:snapToGrid w:val="0"/>
              <w:spacing w:before="120" w:line="520" w:lineRule="exact"/>
              <w:ind w:firstLine="440"/>
              <w:jc w:val="center"/>
              <w:rPr>
                <w:b/>
                <w:color w:val="auto"/>
                <w:kern w:val="2"/>
                <w:sz w:val="24"/>
                <w:szCs w:val="24"/>
                <w:highlight w:val="none"/>
              </w:rPr>
            </w:pPr>
          </w:p>
        </w:tc>
        <w:tc>
          <w:tcPr>
            <w:tcW w:w="2551" w:type="dxa"/>
            <w:vAlign w:val="center"/>
          </w:tcPr>
          <w:p>
            <w:pPr>
              <w:pStyle w:val="16"/>
              <w:adjustRightInd w:val="0"/>
              <w:snapToGrid w:val="0"/>
              <w:spacing w:before="120" w:line="520" w:lineRule="exact"/>
              <w:ind w:firstLine="440"/>
              <w:jc w:val="center"/>
              <w:rPr>
                <w:b/>
                <w:color w:val="auto"/>
                <w:kern w:val="2"/>
                <w:sz w:val="24"/>
                <w:szCs w:val="24"/>
                <w:highlight w:val="none"/>
              </w:rPr>
            </w:pPr>
          </w:p>
        </w:tc>
        <w:tc>
          <w:tcPr>
            <w:tcW w:w="2977" w:type="dxa"/>
            <w:vAlign w:val="center"/>
          </w:tcPr>
          <w:p>
            <w:pPr>
              <w:pStyle w:val="16"/>
              <w:adjustRightInd w:val="0"/>
              <w:snapToGrid w:val="0"/>
              <w:spacing w:before="120" w:line="520" w:lineRule="exact"/>
              <w:ind w:firstLine="440"/>
              <w:jc w:val="center"/>
              <w:rPr>
                <w:b/>
                <w:color w:val="auto"/>
                <w:kern w:val="2"/>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26" w:hRule="atLeast"/>
        </w:trPr>
        <w:tc>
          <w:tcPr>
            <w:tcW w:w="751" w:type="dxa"/>
            <w:vAlign w:val="center"/>
          </w:tcPr>
          <w:p>
            <w:pPr>
              <w:pStyle w:val="16"/>
              <w:adjustRightInd w:val="0"/>
              <w:snapToGrid w:val="0"/>
              <w:spacing w:before="120" w:line="520" w:lineRule="exact"/>
              <w:ind w:firstLine="440"/>
              <w:jc w:val="center"/>
              <w:rPr>
                <w:b/>
                <w:color w:val="auto"/>
                <w:kern w:val="2"/>
                <w:sz w:val="24"/>
                <w:szCs w:val="24"/>
                <w:highlight w:val="none"/>
              </w:rPr>
            </w:pPr>
          </w:p>
        </w:tc>
        <w:tc>
          <w:tcPr>
            <w:tcW w:w="3077" w:type="dxa"/>
            <w:tcBorders>
              <w:right w:val="single" w:color="auto" w:sz="4" w:space="0"/>
            </w:tcBorders>
            <w:vAlign w:val="center"/>
          </w:tcPr>
          <w:p>
            <w:pPr>
              <w:pStyle w:val="16"/>
              <w:adjustRightInd w:val="0"/>
              <w:snapToGrid w:val="0"/>
              <w:spacing w:before="120" w:line="520" w:lineRule="exact"/>
              <w:ind w:firstLine="440"/>
              <w:jc w:val="center"/>
              <w:rPr>
                <w:b/>
                <w:color w:val="auto"/>
                <w:kern w:val="2"/>
                <w:sz w:val="24"/>
                <w:szCs w:val="24"/>
                <w:highlight w:val="none"/>
              </w:rPr>
            </w:pPr>
          </w:p>
        </w:tc>
        <w:tc>
          <w:tcPr>
            <w:tcW w:w="2268" w:type="dxa"/>
            <w:tcBorders>
              <w:left w:val="single" w:color="auto" w:sz="4" w:space="0"/>
            </w:tcBorders>
            <w:vAlign w:val="center"/>
          </w:tcPr>
          <w:p>
            <w:pPr>
              <w:pStyle w:val="16"/>
              <w:adjustRightInd w:val="0"/>
              <w:snapToGrid w:val="0"/>
              <w:spacing w:before="120" w:line="520" w:lineRule="exact"/>
              <w:ind w:firstLine="440"/>
              <w:jc w:val="center"/>
              <w:rPr>
                <w:b/>
                <w:color w:val="auto"/>
                <w:kern w:val="2"/>
                <w:sz w:val="24"/>
                <w:szCs w:val="24"/>
                <w:highlight w:val="none"/>
              </w:rPr>
            </w:pPr>
          </w:p>
        </w:tc>
        <w:tc>
          <w:tcPr>
            <w:tcW w:w="2268" w:type="dxa"/>
            <w:vAlign w:val="center"/>
          </w:tcPr>
          <w:p>
            <w:pPr>
              <w:pStyle w:val="16"/>
              <w:adjustRightInd w:val="0"/>
              <w:snapToGrid w:val="0"/>
              <w:spacing w:before="120" w:line="520" w:lineRule="exact"/>
              <w:ind w:firstLine="440"/>
              <w:jc w:val="center"/>
              <w:rPr>
                <w:b/>
                <w:color w:val="auto"/>
                <w:kern w:val="2"/>
                <w:sz w:val="24"/>
                <w:szCs w:val="24"/>
                <w:highlight w:val="none"/>
              </w:rPr>
            </w:pPr>
          </w:p>
        </w:tc>
        <w:tc>
          <w:tcPr>
            <w:tcW w:w="2551" w:type="dxa"/>
            <w:vAlign w:val="center"/>
          </w:tcPr>
          <w:p>
            <w:pPr>
              <w:pStyle w:val="16"/>
              <w:adjustRightInd w:val="0"/>
              <w:snapToGrid w:val="0"/>
              <w:spacing w:before="120" w:line="520" w:lineRule="exact"/>
              <w:ind w:firstLine="440"/>
              <w:jc w:val="center"/>
              <w:rPr>
                <w:b/>
                <w:color w:val="auto"/>
                <w:kern w:val="2"/>
                <w:sz w:val="24"/>
                <w:szCs w:val="24"/>
                <w:highlight w:val="none"/>
              </w:rPr>
            </w:pPr>
          </w:p>
        </w:tc>
        <w:tc>
          <w:tcPr>
            <w:tcW w:w="2977" w:type="dxa"/>
            <w:vAlign w:val="center"/>
          </w:tcPr>
          <w:p>
            <w:pPr>
              <w:pStyle w:val="16"/>
              <w:adjustRightInd w:val="0"/>
              <w:snapToGrid w:val="0"/>
              <w:spacing w:before="120" w:line="520" w:lineRule="exact"/>
              <w:ind w:firstLine="440"/>
              <w:jc w:val="center"/>
              <w:rPr>
                <w:b/>
                <w:color w:val="auto"/>
                <w:kern w:val="2"/>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06" w:hRule="atLeast"/>
        </w:trPr>
        <w:tc>
          <w:tcPr>
            <w:tcW w:w="751" w:type="dxa"/>
            <w:vAlign w:val="center"/>
          </w:tcPr>
          <w:p>
            <w:pPr>
              <w:pStyle w:val="16"/>
              <w:adjustRightInd w:val="0"/>
              <w:snapToGrid w:val="0"/>
              <w:spacing w:before="120" w:line="520" w:lineRule="exact"/>
              <w:ind w:firstLine="440"/>
              <w:jc w:val="center"/>
              <w:rPr>
                <w:b/>
                <w:color w:val="auto"/>
                <w:kern w:val="2"/>
                <w:sz w:val="24"/>
                <w:szCs w:val="24"/>
                <w:highlight w:val="none"/>
              </w:rPr>
            </w:pPr>
          </w:p>
        </w:tc>
        <w:tc>
          <w:tcPr>
            <w:tcW w:w="3077" w:type="dxa"/>
            <w:tcBorders>
              <w:right w:val="single" w:color="auto" w:sz="4" w:space="0"/>
            </w:tcBorders>
            <w:vAlign w:val="center"/>
          </w:tcPr>
          <w:p>
            <w:pPr>
              <w:pStyle w:val="16"/>
              <w:adjustRightInd w:val="0"/>
              <w:snapToGrid w:val="0"/>
              <w:spacing w:before="120" w:line="520" w:lineRule="exact"/>
              <w:ind w:firstLine="440"/>
              <w:jc w:val="center"/>
              <w:rPr>
                <w:b/>
                <w:color w:val="auto"/>
                <w:kern w:val="2"/>
                <w:sz w:val="24"/>
                <w:szCs w:val="24"/>
                <w:highlight w:val="none"/>
              </w:rPr>
            </w:pPr>
          </w:p>
        </w:tc>
        <w:tc>
          <w:tcPr>
            <w:tcW w:w="2268" w:type="dxa"/>
            <w:tcBorders>
              <w:left w:val="single" w:color="auto" w:sz="4" w:space="0"/>
            </w:tcBorders>
            <w:vAlign w:val="center"/>
          </w:tcPr>
          <w:p>
            <w:pPr>
              <w:pStyle w:val="16"/>
              <w:adjustRightInd w:val="0"/>
              <w:snapToGrid w:val="0"/>
              <w:spacing w:before="120" w:line="520" w:lineRule="exact"/>
              <w:ind w:firstLine="440"/>
              <w:jc w:val="center"/>
              <w:rPr>
                <w:b/>
                <w:color w:val="auto"/>
                <w:kern w:val="2"/>
                <w:sz w:val="24"/>
                <w:szCs w:val="24"/>
                <w:highlight w:val="none"/>
              </w:rPr>
            </w:pPr>
          </w:p>
        </w:tc>
        <w:tc>
          <w:tcPr>
            <w:tcW w:w="2268" w:type="dxa"/>
            <w:vAlign w:val="center"/>
          </w:tcPr>
          <w:p>
            <w:pPr>
              <w:pStyle w:val="16"/>
              <w:adjustRightInd w:val="0"/>
              <w:snapToGrid w:val="0"/>
              <w:spacing w:before="120" w:line="520" w:lineRule="exact"/>
              <w:ind w:firstLine="440"/>
              <w:jc w:val="center"/>
              <w:rPr>
                <w:b/>
                <w:color w:val="auto"/>
                <w:kern w:val="2"/>
                <w:sz w:val="24"/>
                <w:szCs w:val="24"/>
                <w:highlight w:val="none"/>
              </w:rPr>
            </w:pPr>
          </w:p>
        </w:tc>
        <w:tc>
          <w:tcPr>
            <w:tcW w:w="2551" w:type="dxa"/>
            <w:vAlign w:val="center"/>
          </w:tcPr>
          <w:p>
            <w:pPr>
              <w:pStyle w:val="16"/>
              <w:adjustRightInd w:val="0"/>
              <w:snapToGrid w:val="0"/>
              <w:spacing w:before="120" w:line="520" w:lineRule="exact"/>
              <w:ind w:firstLine="440"/>
              <w:jc w:val="center"/>
              <w:rPr>
                <w:b/>
                <w:color w:val="auto"/>
                <w:kern w:val="2"/>
                <w:sz w:val="24"/>
                <w:szCs w:val="24"/>
                <w:highlight w:val="none"/>
              </w:rPr>
            </w:pPr>
          </w:p>
        </w:tc>
        <w:tc>
          <w:tcPr>
            <w:tcW w:w="2977" w:type="dxa"/>
            <w:vAlign w:val="center"/>
          </w:tcPr>
          <w:p>
            <w:pPr>
              <w:pStyle w:val="16"/>
              <w:adjustRightInd w:val="0"/>
              <w:snapToGrid w:val="0"/>
              <w:spacing w:before="120" w:line="520" w:lineRule="exact"/>
              <w:ind w:firstLine="440"/>
              <w:jc w:val="center"/>
              <w:rPr>
                <w:b/>
                <w:color w:val="auto"/>
                <w:kern w:val="2"/>
                <w:sz w:val="24"/>
                <w:szCs w:val="24"/>
                <w:highlight w:val="none"/>
              </w:rPr>
            </w:pPr>
          </w:p>
        </w:tc>
      </w:tr>
    </w:tbl>
    <w:p>
      <w:pPr>
        <w:snapToGrid w:val="0"/>
        <w:spacing w:before="50" w:line="520" w:lineRule="exact"/>
        <w:jc w:val="left"/>
        <w:rPr>
          <w:rFonts w:ascii="宋体"/>
          <w:color w:val="auto"/>
          <w:sz w:val="24"/>
          <w:szCs w:val="24"/>
          <w:highlight w:val="none"/>
        </w:rPr>
      </w:pPr>
      <w:r>
        <w:rPr>
          <w:rFonts w:hint="eastAsia" w:ascii="宋体" w:hAnsi="宋体"/>
          <w:color w:val="auto"/>
          <w:sz w:val="24"/>
          <w:szCs w:val="24"/>
          <w:highlight w:val="none"/>
        </w:rPr>
        <w:t>法定代表人或委托代理人（签字或盖章）：</w:t>
      </w:r>
    </w:p>
    <w:p>
      <w:pPr>
        <w:snapToGrid w:val="0"/>
        <w:spacing w:before="50" w:line="520" w:lineRule="exact"/>
        <w:jc w:val="left"/>
        <w:rPr>
          <w:rFonts w:ascii="宋体"/>
          <w:color w:val="auto"/>
          <w:sz w:val="24"/>
          <w:szCs w:val="24"/>
          <w:highlight w:val="none"/>
        </w:rPr>
      </w:pPr>
      <w:r>
        <w:rPr>
          <w:rFonts w:hint="eastAsia" w:ascii="宋体" w:hAnsi="宋体"/>
          <w:color w:val="auto"/>
          <w:sz w:val="24"/>
          <w:szCs w:val="24"/>
          <w:highlight w:val="none"/>
          <w:lang w:val="en-US" w:eastAsia="zh-CN"/>
        </w:rPr>
        <w:t>响应人</w:t>
      </w:r>
      <w:r>
        <w:rPr>
          <w:rFonts w:hint="eastAsia" w:ascii="宋体" w:hAnsi="宋体"/>
          <w:color w:val="auto"/>
          <w:sz w:val="24"/>
          <w:szCs w:val="24"/>
          <w:highlight w:val="none"/>
        </w:rPr>
        <w:t>名称（盖章）：年月日</w:t>
      </w:r>
    </w:p>
    <w:p>
      <w:pPr>
        <w:snapToGrid w:val="0"/>
        <w:spacing w:before="50" w:line="520" w:lineRule="exact"/>
        <w:jc w:val="left"/>
        <w:rPr>
          <w:rFonts w:ascii="宋体"/>
          <w:color w:val="auto"/>
          <w:sz w:val="24"/>
          <w:szCs w:val="24"/>
          <w:highlight w:val="none"/>
        </w:rPr>
        <w:sectPr>
          <w:pgSz w:w="16838" w:h="11906" w:orient="landscape"/>
          <w:pgMar w:top="1531" w:right="1304" w:bottom="1531" w:left="1304" w:header="851" w:footer="992" w:gutter="0"/>
          <w:cols w:space="720" w:num="1"/>
        </w:sectPr>
      </w:pPr>
    </w:p>
    <w:p>
      <w:pPr>
        <w:pStyle w:val="11"/>
        <w:spacing w:line="520" w:lineRule="exact"/>
        <w:ind w:firstLine="0"/>
        <w:rPr>
          <w:rFonts w:ascii="宋体" w:hAnsi="宋体"/>
          <w:b/>
          <w:bCs/>
          <w:color w:val="auto"/>
          <w:sz w:val="24"/>
          <w:szCs w:val="24"/>
          <w:highlight w:val="none"/>
        </w:rPr>
      </w:pPr>
      <w:r>
        <w:rPr>
          <w:rFonts w:hint="eastAsia" w:ascii="宋体" w:hAnsi="宋体" w:cs="宋体"/>
          <w:b/>
          <w:bCs/>
          <w:color w:val="auto"/>
          <w:spacing w:val="-6"/>
          <w:sz w:val="24"/>
          <w:szCs w:val="24"/>
          <w:highlight w:val="none"/>
        </w:rPr>
        <w:t>1</w:t>
      </w:r>
      <w:r>
        <w:rPr>
          <w:rFonts w:ascii="宋体" w:hAnsi="宋体" w:cs="宋体"/>
          <w:b/>
          <w:bCs/>
          <w:color w:val="auto"/>
          <w:spacing w:val="-6"/>
          <w:sz w:val="24"/>
          <w:szCs w:val="24"/>
          <w:highlight w:val="none"/>
        </w:rPr>
        <w:t>.2.2</w:t>
      </w:r>
      <w:r>
        <w:rPr>
          <w:rFonts w:hint="eastAsia" w:ascii="宋体" w:hAnsi="宋体" w:cs="宋体"/>
          <w:b/>
          <w:bCs/>
          <w:color w:val="auto"/>
          <w:spacing w:val="-6"/>
          <w:sz w:val="24"/>
          <w:szCs w:val="24"/>
          <w:highlight w:val="none"/>
        </w:rPr>
        <w:t>采购需求偏离表</w:t>
      </w:r>
    </w:p>
    <w:p>
      <w:pPr>
        <w:spacing w:line="520" w:lineRule="exact"/>
        <w:rPr>
          <w:rFonts w:ascii="宋体" w:hAnsi="宋体"/>
          <w:color w:val="auto"/>
          <w:spacing w:val="-6"/>
          <w:sz w:val="24"/>
          <w:szCs w:val="24"/>
          <w:highlight w:val="none"/>
        </w:rPr>
      </w:pPr>
      <w:r>
        <w:rPr>
          <w:rFonts w:hint="eastAsia" w:ascii="宋体" w:hAnsi="宋体" w:cs="宋体"/>
          <w:color w:val="auto"/>
          <w:spacing w:val="-6"/>
          <w:sz w:val="24"/>
          <w:szCs w:val="24"/>
          <w:highlight w:val="none"/>
        </w:rPr>
        <w:t>采购人：</w:t>
      </w:r>
    </w:p>
    <w:p>
      <w:pPr>
        <w:spacing w:line="520" w:lineRule="exact"/>
        <w:rPr>
          <w:rFonts w:ascii="宋体" w:hAnsi="宋体"/>
          <w:color w:val="auto"/>
          <w:spacing w:val="-6"/>
          <w:sz w:val="24"/>
          <w:szCs w:val="24"/>
          <w:highlight w:val="none"/>
        </w:rPr>
      </w:pPr>
      <w:r>
        <w:rPr>
          <w:rFonts w:hint="eastAsia" w:ascii="宋体" w:hAnsi="宋体" w:cs="宋体"/>
          <w:color w:val="auto"/>
          <w:spacing w:val="-6"/>
          <w:sz w:val="24"/>
          <w:szCs w:val="24"/>
          <w:highlight w:val="none"/>
        </w:rPr>
        <w:t>项目名称：</w:t>
      </w:r>
    </w:p>
    <w:p>
      <w:pPr>
        <w:spacing w:line="520" w:lineRule="exact"/>
        <w:rPr>
          <w:rFonts w:ascii="宋体" w:hAnsi="宋体"/>
          <w:color w:val="auto"/>
          <w:spacing w:val="-6"/>
          <w:sz w:val="24"/>
          <w:szCs w:val="24"/>
          <w:highlight w:val="none"/>
        </w:rPr>
      </w:pPr>
      <w:r>
        <w:rPr>
          <w:rFonts w:hint="eastAsia" w:ascii="宋体" w:hAnsi="宋体" w:cs="宋体"/>
          <w:color w:val="auto"/>
          <w:spacing w:val="-6"/>
          <w:sz w:val="24"/>
          <w:szCs w:val="24"/>
          <w:highlight w:val="none"/>
        </w:rPr>
        <w:t>项目编号：</w:t>
      </w:r>
    </w:p>
    <w:tbl>
      <w:tblPr>
        <w:tblStyle w:val="33"/>
        <w:tblW w:w="9341" w:type="dxa"/>
        <w:tblInd w:w="2"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3260"/>
        <w:gridCol w:w="3402"/>
        <w:gridCol w:w="1828"/>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51" w:type="dxa"/>
            <w:tcBorders>
              <w:top w:val="double" w:color="auto" w:sz="4" w:space="0"/>
            </w:tcBorders>
            <w:vAlign w:val="center"/>
          </w:tcPr>
          <w:p>
            <w:pPr>
              <w:snapToGrid w:val="0"/>
              <w:spacing w:line="520" w:lineRule="exact"/>
              <w:jc w:val="center"/>
              <w:rPr>
                <w:rFonts w:ascii="宋体" w:hAnsi="宋体"/>
                <w:b/>
                <w:bCs/>
                <w:color w:val="auto"/>
                <w:spacing w:val="-6"/>
                <w:sz w:val="24"/>
                <w:szCs w:val="24"/>
                <w:highlight w:val="none"/>
              </w:rPr>
            </w:pPr>
            <w:r>
              <w:rPr>
                <w:rFonts w:hint="eastAsia" w:ascii="宋体" w:hAnsi="宋体" w:cs="宋体"/>
                <w:b/>
                <w:bCs/>
                <w:color w:val="auto"/>
                <w:spacing w:val="-6"/>
                <w:sz w:val="24"/>
                <w:szCs w:val="24"/>
                <w:highlight w:val="none"/>
              </w:rPr>
              <w:t>序号</w:t>
            </w:r>
          </w:p>
        </w:tc>
        <w:tc>
          <w:tcPr>
            <w:tcW w:w="3260" w:type="dxa"/>
            <w:tcBorders>
              <w:top w:val="double" w:color="auto" w:sz="4" w:space="0"/>
            </w:tcBorders>
            <w:vAlign w:val="center"/>
          </w:tcPr>
          <w:p>
            <w:pPr>
              <w:snapToGrid w:val="0"/>
              <w:spacing w:line="520" w:lineRule="exact"/>
              <w:jc w:val="center"/>
              <w:rPr>
                <w:rFonts w:ascii="宋体" w:hAnsi="宋体"/>
                <w:b/>
                <w:bCs/>
                <w:color w:val="auto"/>
                <w:spacing w:val="-6"/>
                <w:sz w:val="24"/>
                <w:szCs w:val="24"/>
                <w:highlight w:val="none"/>
              </w:rPr>
            </w:pPr>
            <w:r>
              <w:rPr>
                <w:rFonts w:hint="eastAsia" w:ascii="宋体" w:hAnsi="宋体" w:cs="宋体"/>
                <w:b/>
                <w:bCs/>
                <w:color w:val="auto"/>
                <w:spacing w:val="-6"/>
                <w:sz w:val="24"/>
                <w:szCs w:val="24"/>
                <w:highlight w:val="none"/>
              </w:rPr>
              <w:t>采购文件要求</w:t>
            </w:r>
          </w:p>
        </w:tc>
        <w:tc>
          <w:tcPr>
            <w:tcW w:w="3402" w:type="dxa"/>
            <w:tcBorders>
              <w:top w:val="double" w:color="auto" w:sz="4" w:space="0"/>
            </w:tcBorders>
            <w:vAlign w:val="center"/>
          </w:tcPr>
          <w:p>
            <w:pPr>
              <w:snapToGrid w:val="0"/>
              <w:spacing w:line="520" w:lineRule="exact"/>
              <w:jc w:val="center"/>
              <w:rPr>
                <w:rFonts w:hint="eastAsia" w:ascii="宋体" w:hAnsi="宋体" w:eastAsia="宋体" w:cs="宋体"/>
                <w:b/>
                <w:bCs/>
                <w:color w:val="auto"/>
                <w:spacing w:val="-6"/>
                <w:sz w:val="24"/>
                <w:szCs w:val="24"/>
                <w:highlight w:val="none"/>
                <w:lang w:val="en-US" w:eastAsia="zh-CN"/>
              </w:rPr>
            </w:pPr>
            <w:r>
              <w:rPr>
                <w:rFonts w:hint="eastAsia" w:ascii="宋体" w:hAnsi="宋体" w:cs="宋体"/>
                <w:b/>
                <w:bCs/>
                <w:color w:val="auto"/>
                <w:spacing w:val="-6"/>
                <w:sz w:val="24"/>
                <w:szCs w:val="24"/>
                <w:highlight w:val="none"/>
              </w:rPr>
              <w:t>响应内容</w:t>
            </w:r>
          </w:p>
        </w:tc>
        <w:tc>
          <w:tcPr>
            <w:tcW w:w="1828" w:type="dxa"/>
            <w:tcBorders>
              <w:top w:val="double" w:color="auto" w:sz="4" w:space="0"/>
            </w:tcBorders>
            <w:vAlign w:val="center"/>
          </w:tcPr>
          <w:p>
            <w:pPr>
              <w:snapToGrid w:val="0"/>
              <w:spacing w:line="520" w:lineRule="exact"/>
              <w:jc w:val="center"/>
              <w:rPr>
                <w:rFonts w:ascii="宋体" w:hAnsi="宋体"/>
                <w:b/>
                <w:bCs/>
                <w:color w:val="auto"/>
                <w:spacing w:val="-6"/>
                <w:sz w:val="24"/>
                <w:szCs w:val="24"/>
                <w:highlight w:val="none"/>
              </w:rPr>
            </w:pPr>
            <w:r>
              <w:rPr>
                <w:rFonts w:hint="eastAsia" w:ascii="宋体" w:hAnsi="宋体" w:cs="宋体"/>
                <w:b/>
                <w:bCs/>
                <w:color w:val="auto"/>
                <w:spacing w:val="-6"/>
                <w:sz w:val="24"/>
                <w:szCs w:val="24"/>
                <w:highlight w:val="none"/>
              </w:rPr>
              <w:t>是否偏离</w:t>
            </w:r>
          </w:p>
          <w:p>
            <w:pPr>
              <w:snapToGrid w:val="0"/>
              <w:spacing w:line="520" w:lineRule="exact"/>
              <w:jc w:val="center"/>
              <w:rPr>
                <w:rFonts w:ascii="宋体" w:hAnsi="宋体"/>
                <w:b/>
                <w:bCs/>
                <w:color w:val="auto"/>
                <w:spacing w:val="-6"/>
                <w:sz w:val="24"/>
                <w:szCs w:val="24"/>
                <w:highlight w:val="none"/>
              </w:rPr>
            </w:pPr>
            <w:r>
              <w:rPr>
                <w:rFonts w:hint="eastAsia" w:ascii="宋体" w:hAnsi="宋体" w:cs="宋体"/>
                <w:b/>
                <w:bCs/>
                <w:color w:val="auto"/>
                <w:spacing w:val="-6"/>
                <w:sz w:val="24"/>
                <w:szCs w:val="24"/>
                <w:highlight w:val="none"/>
              </w:rPr>
              <w:t>（提供说明）</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341" w:type="dxa"/>
            <w:gridSpan w:val="4"/>
            <w:vAlign w:val="center"/>
          </w:tcPr>
          <w:p>
            <w:pPr>
              <w:snapToGrid w:val="0"/>
              <w:spacing w:line="520" w:lineRule="exact"/>
              <w:rPr>
                <w:rFonts w:ascii="宋体" w:hAnsi="宋体"/>
                <w:color w:val="auto"/>
                <w:spacing w:val="-6"/>
                <w:sz w:val="24"/>
                <w:szCs w:val="24"/>
                <w:highlight w:val="none"/>
              </w:rPr>
            </w:pPr>
            <w:r>
              <w:rPr>
                <w:rFonts w:hint="eastAsia" w:ascii="宋体" w:hAnsi="宋体" w:cs="宋体"/>
                <w:color w:val="auto"/>
                <w:sz w:val="24"/>
                <w:szCs w:val="24"/>
                <w:highlight w:val="none"/>
              </w:rPr>
              <w:t>商务要求</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51" w:type="dxa"/>
            <w:vAlign w:val="center"/>
          </w:tcPr>
          <w:p>
            <w:pPr>
              <w:snapToGrid w:val="0"/>
              <w:spacing w:line="520" w:lineRule="exact"/>
              <w:jc w:val="center"/>
              <w:rPr>
                <w:rFonts w:ascii="宋体" w:hAnsi="宋体"/>
                <w:color w:val="auto"/>
                <w:spacing w:val="-6"/>
                <w:sz w:val="24"/>
                <w:szCs w:val="24"/>
                <w:highlight w:val="none"/>
              </w:rPr>
            </w:pPr>
            <w:r>
              <w:rPr>
                <w:rFonts w:hint="eastAsia" w:ascii="宋体" w:hAnsi="宋体"/>
                <w:color w:val="auto"/>
                <w:spacing w:val="-6"/>
                <w:sz w:val="24"/>
                <w:szCs w:val="24"/>
                <w:highlight w:val="none"/>
              </w:rPr>
              <w:t>1</w:t>
            </w:r>
          </w:p>
        </w:tc>
        <w:tc>
          <w:tcPr>
            <w:tcW w:w="3260" w:type="dxa"/>
            <w:vAlign w:val="center"/>
          </w:tcPr>
          <w:p>
            <w:pPr>
              <w:snapToGrid w:val="0"/>
              <w:spacing w:line="520" w:lineRule="exact"/>
              <w:jc w:val="center"/>
              <w:rPr>
                <w:rFonts w:ascii="宋体" w:hAnsi="宋体"/>
                <w:color w:val="auto"/>
                <w:spacing w:val="-6"/>
                <w:sz w:val="24"/>
                <w:szCs w:val="24"/>
                <w:highlight w:val="none"/>
              </w:rPr>
            </w:pPr>
          </w:p>
        </w:tc>
        <w:tc>
          <w:tcPr>
            <w:tcW w:w="3402" w:type="dxa"/>
            <w:vAlign w:val="center"/>
          </w:tcPr>
          <w:p>
            <w:pPr>
              <w:snapToGrid w:val="0"/>
              <w:spacing w:line="520" w:lineRule="exact"/>
              <w:jc w:val="center"/>
              <w:rPr>
                <w:rFonts w:ascii="宋体" w:hAnsi="宋体"/>
                <w:color w:val="auto"/>
                <w:spacing w:val="-6"/>
                <w:sz w:val="24"/>
                <w:szCs w:val="24"/>
                <w:highlight w:val="none"/>
              </w:rPr>
            </w:pPr>
          </w:p>
        </w:tc>
        <w:tc>
          <w:tcPr>
            <w:tcW w:w="1828" w:type="dxa"/>
            <w:vAlign w:val="center"/>
          </w:tcPr>
          <w:p>
            <w:pPr>
              <w:snapToGrid w:val="0"/>
              <w:spacing w:line="520" w:lineRule="exact"/>
              <w:jc w:val="center"/>
              <w:rPr>
                <w:rFonts w:ascii="宋体" w:hAnsi="宋体"/>
                <w:color w:val="auto"/>
                <w:spacing w:val="-6"/>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51" w:type="dxa"/>
            <w:vAlign w:val="center"/>
          </w:tcPr>
          <w:p>
            <w:pPr>
              <w:snapToGrid w:val="0"/>
              <w:spacing w:line="520" w:lineRule="exact"/>
              <w:jc w:val="center"/>
              <w:rPr>
                <w:rFonts w:ascii="宋体" w:hAnsi="宋体"/>
                <w:color w:val="auto"/>
                <w:spacing w:val="-6"/>
                <w:sz w:val="24"/>
                <w:szCs w:val="24"/>
                <w:highlight w:val="none"/>
              </w:rPr>
            </w:pPr>
            <w:r>
              <w:rPr>
                <w:rFonts w:hint="eastAsia" w:ascii="宋体" w:hAnsi="宋体"/>
                <w:color w:val="auto"/>
                <w:spacing w:val="-6"/>
                <w:sz w:val="24"/>
                <w:szCs w:val="24"/>
                <w:highlight w:val="none"/>
              </w:rPr>
              <w:t>2</w:t>
            </w:r>
          </w:p>
        </w:tc>
        <w:tc>
          <w:tcPr>
            <w:tcW w:w="3260" w:type="dxa"/>
            <w:vAlign w:val="center"/>
          </w:tcPr>
          <w:p>
            <w:pPr>
              <w:snapToGrid w:val="0"/>
              <w:spacing w:line="520" w:lineRule="exact"/>
              <w:jc w:val="center"/>
              <w:rPr>
                <w:rFonts w:ascii="宋体" w:hAnsi="宋体"/>
                <w:color w:val="auto"/>
                <w:spacing w:val="-6"/>
                <w:sz w:val="24"/>
                <w:szCs w:val="24"/>
                <w:highlight w:val="none"/>
              </w:rPr>
            </w:pPr>
          </w:p>
        </w:tc>
        <w:tc>
          <w:tcPr>
            <w:tcW w:w="3402" w:type="dxa"/>
            <w:vAlign w:val="center"/>
          </w:tcPr>
          <w:p>
            <w:pPr>
              <w:snapToGrid w:val="0"/>
              <w:spacing w:line="520" w:lineRule="exact"/>
              <w:jc w:val="center"/>
              <w:rPr>
                <w:rFonts w:ascii="宋体" w:hAnsi="宋体"/>
                <w:color w:val="auto"/>
                <w:spacing w:val="-6"/>
                <w:sz w:val="24"/>
                <w:szCs w:val="24"/>
                <w:highlight w:val="none"/>
              </w:rPr>
            </w:pPr>
          </w:p>
        </w:tc>
        <w:tc>
          <w:tcPr>
            <w:tcW w:w="1828" w:type="dxa"/>
            <w:vAlign w:val="center"/>
          </w:tcPr>
          <w:p>
            <w:pPr>
              <w:snapToGrid w:val="0"/>
              <w:spacing w:line="520" w:lineRule="exact"/>
              <w:jc w:val="center"/>
              <w:rPr>
                <w:rFonts w:ascii="宋体" w:hAnsi="宋体"/>
                <w:color w:val="auto"/>
                <w:spacing w:val="-6"/>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341" w:type="dxa"/>
            <w:gridSpan w:val="4"/>
            <w:vAlign w:val="center"/>
          </w:tcPr>
          <w:p>
            <w:pPr>
              <w:snapToGrid w:val="0"/>
              <w:spacing w:line="520" w:lineRule="exact"/>
              <w:rPr>
                <w:rFonts w:ascii="宋体" w:hAnsi="宋体"/>
                <w:color w:val="auto"/>
                <w:spacing w:val="-6"/>
                <w:sz w:val="24"/>
                <w:szCs w:val="24"/>
                <w:highlight w:val="none"/>
              </w:rPr>
            </w:pPr>
            <w:r>
              <w:rPr>
                <w:rFonts w:hint="eastAsia" w:ascii="宋体" w:hAnsi="宋体" w:cs="宋体"/>
                <w:color w:val="auto"/>
                <w:spacing w:val="-6"/>
                <w:sz w:val="24"/>
                <w:szCs w:val="24"/>
                <w:highlight w:val="none"/>
              </w:rPr>
              <w:t>技术要求</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51" w:type="dxa"/>
            <w:vAlign w:val="center"/>
          </w:tcPr>
          <w:p>
            <w:pPr>
              <w:snapToGrid w:val="0"/>
              <w:spacing w:line="520" w:lineRule="exact"/>
              <w:jc w:val="center"/>
              <w:rPr>
                <w:rFonts w:ascii="宋体" w:hAnsi="宋体"/>
                <w:color w:val="auto"/>
                <w:spacing w:val="-6"/>
                <w:sz w:val="24"/>
                <w:szCs w:val="24"/>
                <w:highlight w:val="none"/>
              </w:rPr>
            </w:pPr>
          </w:p>
        </w:tc>
        <w:tc>
          <w:tcPr>
            <w:tcW w:w="3260" w:type="dxa"/>
            <w:vAlign w:val="center"/>
          </w:tcPr>
          <w:p>
            <w:pPr>
              <w:snapToGrid w:val="0"/>
              <w:spacing w:line="520" w:lineRule="exact"/>
              <w:jc w:val="center"/>
              <w:rPr>
                <w:rFonts w:ascii="宋体" w:hAnsi="宋体"/>
                <w:color w:val="auto"/>
                <w:spacing w:val="-6"/>
                <w:sz w:val="24"/>
                <w:szCs w:val="24"/>
                <w:highlight w:val="none"/>
              </w:rPr>
            </w:pPr>
          </w:p>
        </w:tc>
        <w:tc>
          <w:tcPr>
            <w:tcW w:w="3402" w:type="dxa"/>
            <w:vAlign w:val="center"/>
          </w:tcPr>
          <w:p>
            <w:pPr>
              <w:snapToGrid w:val="0"/>
              <w:spacing w:line="520" w:lineRule="exact"/>
              <w:jc w:val="center"/>
              <w:rPr>
                <w:rFonts w:ascii="宋体" w:hAnsi="宋体"/>
                <w:color w:val="auto"/>
                <w:spacing w:val="-6"/>
                <w:sz w:val="24"/>
                <w:szCs w:val="24"/>
                <w:highlight w:val="none"/>
              </w:rPr>
            </w:pPr>
          </w:p>
        </w:tc>
        <w:tc>
          <w:tcPr>
            <w:tcW w:w="1828" w:type="dxa"/>
            <w:vAlign w:val="center"/>
          </w:tcPr>
          <w:p>
            <w:pPr>
              <w:snapToGrid w:val="0"/>
              <w:spacing w:line="520" w:lineRule="exact"/>
              <w:jc w:val="center"/>
              <w:rPr>
                <w:rFonts w:ascii="宋体" w:hAnsi="宋体"/>
                <w:color w:val="auto"/>
                <w:spacing w:val="-6"/>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51" w:type="dxa"/>
            <w:tcBorders>
              <w:bottom w:val="double" w:color="auto" w:sz="4" w:space="0"/>
            </w:tcBorders>
            <w:vAlign w:val="center"/>
          </w:tcPr>
          <w:p>
            <w:pPr>
              <w:snapToGrid w:val="0"/>
              <w:spacing w:line="520" w:lineRule="exact"/>
              <w:jc w:val="center"/>
              <w:rPr>
                <w:rFonts w:ascii="宋体" w:hAnsi="宋体"/>
                <w:color w:val="auto"/>
                <w:spacing w:val="-6"/>
                <w:sz w:val="24"/>
                <w:szCs w:val="24"/>
                <w:highlight w:val="none"/>
              </w:rPr>
            </w:pPr>
          </w:p>
        </w:tc>
        <w:tc>
          <w:tcPr>
            <w:tcW w:w="3260" w:type="dxa"/>
            <w:tcBorders>
              <w:bottom w:val="double" w:color="auto" w:sz="4" w:space="0"/>
            </w:tcBorders>
            <w:vAlign w:val="center"/>
          </w:tcPr>
          <w:p>
            <w:pPr>
              <w:snapToGrid w:val="0"/>
              <w:spacing w:line="520" w:lineRule="exact"/>
              <w:jc w:val="center"/>
              <w:rPr>
                <w:rFonts w:ascii="宋体" w:hAnsi="宋体"/>
                <w:color w:val="auto"/>
                <w:spacing w:val="-6"/>
                <w:sz w:val="24"/>
                <w:szCs w:val="24"/>
                <w:highlight w:val="none"/>
              </w:rPr>
            </w:pPr>
          </w:p>
        </w:tc>
        <w:tc>
          <w:tcPr>
            <w:tcW w:w="3402" w:type="dxa"/>
            <w:tcBorders>
              <w:bottom w:val="double" w:color="auto" w:sz="4" w:space="0"/>
            </w:tcBorders>
            <w:vAlign w:val="center"/>
          </w:tcPr>
          <w:p>
            <w:pPr>
              <w:snapToGrid w:val="0"/>
              <w:spacing w:line="520" w:lineRule="exact"/>
              <w:jc w:val="center"/>
              <w:rPr>
                <w:rFonts w:ascii="宋体" w:hAnsi="宋体"/>
                <w:color w:val="auto"/>
                <w:spacing w:val="-6"/>
                <w:sz w:val="24"/>
                <w:szCs w:val="24"/>
                <w:highlight w:val="none"/>
              </w:rPr>
            </w:pPr>
          </w:p>
        </w:tc>
        <w:tc>
          <w:tcPr>
            <w:tcW w:w="1828" w:type="dxa"/>
            <w:tcBorders>
              <w:bottom w:val="double" w:color="auto" w:sz="4" w:space="0"/>
            </w:tcBorders>
            <w:vAlign w:val="center"/>
          </w:tcPr>
          <w:p>
            <w:pPr>
              <w:snapToGrid w:val="0"/>
              <w:spacing w:line="520" w:lineRule="exact"/>
              <w:jc w:val="center"/>
              <w:rPr>
                <w:rFonts w:ascii="宋体" w:hAnsi="宋体"/>
                <w:color w:val="auto"/>
                <w:spacing w:val="-6"/>
                <w:sz w:val="24"/>
                <w:szCs w:val="24"/>
                <w:highlight w:val="none"/>
              </w:rPr>
            </w:pPr>
          </w:p>
        </w:tc>
      </w:tr>
    </w:tbl>
    <w:p>
      <w:pPr>
        <w:spacing w:line="520" w:lineRule="exact"/>
        <w:rPr>
          <w:rFonts w:ascii="宋体" w:hAnsi="宋体"/>
          <w:b/>
          <w:bCs/>
          <w:color w:val="auto"/>
          <w:spacing w:val="-6"/>
          <w:sz w:val="24"/>
          <w:szCs w:val="24"/>
          <w:highlight w:val="none"/>
        </w:rPr>
      </w:pPr>
    </w:p>
    <w:p>
      <w:pPr>
        <w:spacing w:line="520" w:lineRule="exact"/>
        <w:rPr>
          <w:rFonts w:ascii="宋体" w:hAnsi="宋体"/>
          <w:b/>
          <w:bCs/>
          <w:color w:val="auto"/>
          <w:spacing w:val="-6"/>
          <w:sz w:val="24"/>
          <w:szCs w:val="24"/>
          <w:highlight w:val="none"/>
        </w:rPr>
      </w:pPr>
      <w:r>
        <w:rPr>
          <w:rFonts w:hint="eastAsia" w:ascii="宋体" w:hAnsi="宋体" w:cs="宋体"/>
          <w:b/>
          <w:bCs/>
          <w:color w:val="auto"/>
          <w:spacing w:val="-6"/>
          <w:sz w:val="24"/>
          <w:szCs w:val="24"/>
          <w:highlight w:val="none"/>
        </w:rPr>
        <w:t>说明：</w:t>
      </w:r>
    </w:p>
    <w:p>
      <w:pPr>
        <w:spacing w:line="520" w:lineRule="exact"/>
        <w:rPr>
          <w:rFonts w:ascii="宋体" w:hAnsi="宋体"/>
          <w:b/>
          <w:bCs/>
          <w:color w:val="auto"/>
          <w:spacing w:val="-6"/>
          <w:sz w:val="24"/>
          <w:szCs w:val="24"/>
          <w:highlight w:val="none"/>
        </w:rPr>
      </w:pPr>
      <w:r>
        <w:rPr>
          <w:rFonts w:hint="eastAsia" w:ascii="宋体" w:hAnsi="宋体"/>
          <w:b/>
          <w:bCs/>
          <w:color w:val="auto"/>
          <w:spacing w:val="-6"/>
          <w:sz w:val="24"/>
          <w:szCs w:val="24"/>
          <w:highlight w:val="none"/>
          <w:lang w:val="en-US" w:eastAsia="zh-CN"/>
        </w:rPr>
        <w:t>1</w:t>
      </w:r>
      <w:r>
        <w:rPr>
          <w:rFonts w:ascii="宋体" w:hAnsi="宋体"/>
          <w:b/>
          <w:bCs/>
          <w:color w:val="auto"/>
          <w:spacing w:val="-6"/>
          <w:sz w:val="24"/>
          <w:szCs w:val="24"/>
          <w:highlight w:val="none"/>
        </w:rPr>
        <w:t>.</w:t>
      </w:r>
      <w:r>
        <w:rPr>
          <w:rFonts w:hint="eastAsia" w:ascii="宋体" w:hAnsi="宋体" w:cs="宋体"/>
          <w:b/>
          <w:bCs/>
          <w:color w:val="auto"/>
          <w:spacing w:val="-6"/>
          <w:sz w:val="24"/>
          <w:szCs w:val="24"/>
          <w:highlight w:val="none"/>
        </w:rPr>
        <w:t>偏离说明是指对采购文件要求存在不同之处的解释说明。偏离系指：正偏离（高于招标要求）、负偏离（低于招标要求）、无偏离（满足招标要求）；</w:t>
      </w:r>
    </w:p>
    <w:p>
      <w:pPr>
        <w:spacing w:line="520" w:lineRule="exact"/>
        <w:rPr>
          <w:rFonts w:ascii="宋体" w:hAnsi="宋体"/>
          <w:b/>
          <w:bCs/>
          <w:color w:val="auto"/>
          <w:spacing w:val="-6"/>
          <w:sz w:val="24"/>
          <w:szCs w:val="24"/>
          <w:highlight w:val="none"/>
        </w:rPr>
      </w:pPr>
      <w:r>
        <w:rPr>
          <w:rFonts w:hint="eastAsia" w:ascii="宋体" w:hAnsi="宋体"/>
          <w:b/>
          <w:bCs/>
          <w:color w:val="auto"/>
          <w:spacing w:val="-6"/>
          <w:sz w:val="24"/>
          <w:szCs w:val="24"/>
          <w:highlight w:val="none"/>
          <w:lang w:val="en-US" w:eastAsia="zh-CN"/>
        </w:rPr>
        <w:t>2</w:t>
      </w:r>
      <w:r>
        <w:rPr>
          <w:rFonts w:ascii="宋体" w:hAnsi="宋体"/>
          <w:b/>
          <w:bCs/>
          <w:color w:val="auto"/>
          <w:spacing w:val="-6"/>
          <w:sz w:val="24"/>
          <w:szCs w:val="24"/>
          <w:highlight w:val="none"/>
        </w:rPr>
        <w:t>.</w:t>
      </w:r>
      <w:r>
        <w:rPr>
          <w:rFonts w:hint="eastAsia" w:ascii="宋体" w:hAnsi="宋体" w:cs="宋体"/>
          <w:b/>
          <w:bCs/>
          <w:color w:val="auto"/>
          <w:spacing w:val="-6"/>
          <w:sz w:val="24"/>
          <w:szCs w:val="24"/>
          <w:highlight w:val="none"/>
        </w:rPr>
        <w:t>如不填写或未如实填写，自行承担采购风险。</w:t>
      </w:r>
    </w:p>
    <w:p>
      <w:pPr>
        <w:spacing w:line="520" w:lineRule="exact"/>
        <w:rPr>
          <w:rFonts w:ascii="宋体" w:hAnsi="宋体"/>
          <w:color w:val="auto"/>
          <w:spacing w:val="-6"/>
          <w:sz w:val="24"/>
          <w:szCs w:val="24"/>
          <w:highlight w:val="none"/>
        </w:rPr>
      </w:pPr>
    </w:p>
    <w:p>
      <w:pPr>
        <w:spacing w:line="520" w:lineRule="exact"/>
        <w:ind w:right="114"/>
        <w:jc w:val="left"/>
        <w:rPr>
          <w:rFonts w:ascii="宋体" w:hAnsi="宋体"/>
          <w:color w:val="auto"/>
          <w:spacing w:val="-6"/>
          <w:sz w:val="24"/>
          <w:szCs w:val="24"/>
          <w:highlight w:val="none"/>
        </w:rPr>
      </w:pPr>
      <w:r>
        <w:rPr>
          <w:rFonts w:hint="eastAsia" w:ascii="宋体" w:hAnsi="宋体" w:cs="宋体"/>
          <w:color w:val="auto"/>
          <w:spacing w:val="-6"/>
          <w:sz w:val="24"/>
          <w:szCs w:val="24"/>
          <w:highlight w:val="none"/>
          <w:lang w:val="en-US" w:eastAsia="zh-CN"/>
        </w:rPr>
        <w:t>响应</w:t>
      </w:r>
      <w:r>
        <w:rPr>
          <w:rFonts w:hint="eastAsia" w:ascii="宋体" w:hAnsi="宋体" w:cs="宋体"/>
          <w:color w:val="auto"/>
          <w:spacing w:val="-6"/>
          <w:sz w:val="24"/>
          <w:szCs w:val="24"/>
          <w:highlight w:val="none"/>
        </w:rPr>
        <w:t>人盖章：</w:t>
      </w:r>
    </w:p>
    <w:p>
      <w:pPr>
        <w:spacing w:line="520" w:lineRule="exact"/>
        <w:rPr>
          <w:b/>
          <w:bCs/>
          <w:color w:val="auto"/>
          <w:sz w:val="24"/>
          <w:szCs w:val="24"/>
          <w:highlight w:val="none"/>
        </w:rPr>
      </w:pPr>
      <w:r>
        <w:rPr>
          <w:rFonts w:hint="eastAsia" w:ascii="宋体" w:hAnsi="宋体" w:cs="宋体"/>
          <w:color w:val="auto"/>
          <w:spacing w:val="-6"/>
          <w:sz w:val="24"/>
          <w:szCs w:val="24"/>
          <w:highlight w:val="none"/>
        </w:rPr>
        <w:t>日期：</w:t>
      </w:r>
    </w:p>
    <w:p>
      <w:pPr>
        <w:rPr>
          <w:color w:val="auto"/>
          <w:highlight w:val="none"/>
        </w:rPr>
      </w:pPr>
      <w:r>
        <w:rPr>
          <w:color w:val="auto"/>
          <w:highlight w:val="none"/>
        </w:rPr>
        <w:br w:type="page"/>
      </w:r>
    </w:p>
    <w:p>
      <w:pPr>
        <w:pStyle w:val="11"/>
        <w:spacing w:line="520" w:lineRule="exact"/>
        <w:ind w:firstLine="0"/>
        <w:rPr>
          <w:rFonts w:hint="eastAsia" w:ascii="宋体" w:hAnsi="宋体" w:cs="宋体"/>
          <w:b/>
          <w:bCs/>
          <w:color w:val="auto"/>
          <w:spacing w:val="-6"/>
          <w:sz w:val="24"/>
          <w:szCs w:val="24"/>
          <w:highlight w:val="none"/>
          <w:lang w:val="en-US" w:eastAsia="zh-CN"/>
        </w:rPr>
      </w:pPr>
      <w:r>
        <w:rPr>
          <w:rFonts w:hint="eastAsia" w:ascii="宋体" w:hAnsi="宋体" w:cs="宋体"/>
          <w:b/>
          <w:bCs/>
          <w:color w:val="auto"/>
          <w:spacing w:val="-6"/>
          <w:sz w:val="24"/>
          <w:szCs w:val="24"/>
          <w:highlight w:val="none"/>
        </w:rPr>
        <w:t>1</w:t>
      </w:r>
      <w:r>
        <w:rPr>
          <w:rFonts w:ascii="宋体" w:hAnsi="宋体" w:cs="宋体"/>
          <w:b/>
          <w:bCs/>
          <w:color w:val="auto"/>
          <w:spacing w:val="-6"/>
          <w:sz w:val="24"/>
          <w:szCs w:val="24"/>
          <w:highlight w:val="none"/>
        </w:rPr>
        <w:t>.2.</w:t>
      </w:r>
      <w:r>
        <w:rPr>
          <w:rFonts w:hint="eastAsia" w:ascii="宋体" w:hAnsi="宋体" w:cs="宋体"/>
          <w:b/>
          <w:bCs/>
          <w:color w:val="auto"/>
          <w:spacing w:val="-6"/>
          <w:sz w:val="24"/>
          <w:szCs w:val="24"/>
          <w:highlight w:val="none"/>
          <w:lang w:val="en-US" w:eastAsia="zh-CN"/>
        </w:rPr>
        <w:t>3诚信投标承诺书</w:t>
      </w:r>
    </w:p>
    <w:p>
      <w:pPr>
        <w:spacing w:line="360" w:lineRule="auto"/>
        <w:ind w:firstLine="482" w:firstLineChars="200"/>
        <w:jc w:val="center"/>
        <w:rPr>
          <w:rFonts w:hint="eastAsia" w:ascii="宋体" w:hAnsi="宋体" w:eastAsia="宋体" w:cs="宋体"/>
          <w:b/>
          <w:bCs/>
          <w:sz w:val="24"/>
          <w:szCs w:val="24"/>
        </w:rPr>
      </w:pPr>
      <w:r>
        <w:rPr>
          <w:rFonts w:hint="eastAsia" w:ascii="宋体" w:hAnsi="宋体" w:eastAsia="宋体" w:cs="宋体"/>
          <w:b/>
          <w:bCs/>
          <w:sz w:val="24"/>
          <w:szCs w:val="24"/>
        </w:rPr>
        <w:t>诚信投标承诺书</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舟山市第二人民医院</w:t>
      </w:r>
      <w:r>
        <w:rPr>
          <w:rFonts w:hint="eastAsia" w:ascii="宋体" w:hAnsi="宋体" w:eastAsia="宋体" w:cs="宋体"/>
          <w:sz w:val="24"/>
          <w:szCs w:val="24"/>
        </w:rPr>
        <w:t>：</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着体现公平、公正、诚信原则，本投标人对投标文件真实性负主体责任，如有下列虚假应标情形的：投标人通过提供虚假的资质、业绩、检测报告、中小企业证明（承诺）等资料或修改（伪造）产品技术参数（或技术数据）参与投标的情形；投标文件中产品技术参数（或技术数据）真实但达不到采购需求的技术参数（或技术数据）要求，而且澄清解释确定无法经过合法的免费加装、改装、增加配置或服务等满足采购需求，而本投标人在采购需求响应中虚假响应为“符合或满足”的情形。承诺遵守</w:t>
      </w:r>
      <w:r>
        <w:rPr>
          <w:rFonts w:hint="eastAsia" w:ascii="宋体" w:hAnsi="宋体" w:eastAsia="宋体" w:cs="宋体"/>
          <w:sz w:val="24"/>
          <w:szCs w:val="24"/>
          <w:lang w:val="en-US" w:eastAsia="zh-CN"/>
        </w:rPr>
        <w:t>舟山市第二人民医院</w:t>
      </w:r>
      <w:r>
        <w:rPr>
          <w:rFonts w:hint="eastAsia" w:ascii="宋体" w:hAnsi="宋体" w:eastAsia="宋体" w:cs="宋体"/>
          <w:sz w:val="24"/>
          <w:szCs w:val="24"/>
        </w:rPr>
        <w:t>有关虚假应标处理的如下规定：</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1、在评标现场发现并经投标人澄清解释确定属于上述虚假应标情形的，取消投标资格。</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2、中标结果被质疑或投诉为通过虚假应标方式谋取并经采购组织部门复核属于上述虚假应标情形的，取消中标资格。</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3、在履约验收中被发现并经医院确认有上述虚假应标情形的，取消中标资格并终止合同。</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投标人一次虚假应标情形的，医院官网进行公示警告；1个年度中，投标人二次虚假应标情形的，医院官网进行公示警告并禁止本年度内继续参与医院自主采购项目的投标；投标人连续2个年度都有虚假应标情形的，医院有权将该投标人列入黑名单并处以1-3年禁止参与本院自主采购投标的处罚。</w:t>
      </w:r>
    </w:p>
    <w:p>
      <w:pPr>
        <w:pStyle w:val="35"/>
        <w:rPr>
          <w:rFonts w:hint="eastAsia" w:ascii="宋体" w:hAnsi="宋体" w:eastAsia="宋体" w:cs="宋体"/>
          <w:sz w:val="24"/>
          <w:szCs w:val="24"/>
        </w:rPr>
      </w:pPr>
    </w:p>
    <w:p>
      <w:pPr>
        <w:pStyle w:val="35"/>
        <w:rPr>
          <w:rFonts w:hint="eastAsia" w:ascii="宋体" w:hAnsi="宋体" w:eastAsia="宋体" w:cs="宋体"/>
          <w:sz w:val="24"/>
          <w:szCs w:val="24"/>
        </w:rPr>
      </w:pPr>
    </w:p>
    <w:p>
      <w:pPr>
        <w:pStyle w:val="35"/>
        <w:rPr>
          <w:rFonts w:hint="eastAsia" w:ascii="宋体" w:hAnsi="宋体" w:eastAsia="宋体" w:cs="宋体"/>
          <w:sz w:val="24"/>
          <w:szCs w:val="24"/>
        </w:rPr>
      </w:pP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投标人名称：</w:t>
      </w:r>
      <w:r>
        <w:rPr>
          <w:rFonts w:hint="eastAsia" w:ascii="宋体" w:hAnsi="宋体" w:eastAsia="宋体" w:cs="宋体"/>
          <w:sz w:val="24"/>
          <w:szCs w:val="24"/>
          <w:u w:val="single"/>
        </w:rPr>
        <w:t xml:space="preserve">                </w:t>
      </w:r>
      <w:r>
        <w:rPr>
          <w:rFonts w:hint="eastAsia" w:ascii="宋体" w:hAnsi="宋体" w:eastAsia="宋体" w:cs="宋体"/>
          <w:sz w:val="24"/>
          <w:szCs w:val="24"/>
        </w:rPr>
        <w:t>(加盖公章）</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日    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pPr>
        <w:pStyle w:val="11"/>
        <w:spacing w:line="520" w:lineRule="exact"/>
        <w:ind w:firstLine="0"/>
        <w:rPr>
          <w:rFonts w:hint="eastAsia" w:ascii="宋体" w:hAnsi="宋体" w:cs="宋体"/>
          <w:b/>
          <w:bCs/>
          <w:color w:val="auto"/>
          <w:spacing w:val="-6"/>
          <w:sz w:val="24"/>
          <w:szCs w:val="24"/>
          <w:highlight w:val="none"/>
          <w:lang w:val="en-US" w:eastAsia="zh-CN"/>
        </w:rPr>
      </w:pPr>
      <w:r>
        <w:rPr>
          <w:rFonts w:hint="eastAsia" w:ascii="宋体" w:hAnsi="宋体" w:cs="宋体"/>
          <w:b/>
          <w:bCs/>
          <w:color w:val="auto"/>
          <w:spacing w:val="-6"/>
          <w:sz w:val="24"/>
          <w:szCs w:val="24"/>
          <w:highlight w:val="none"/>
          <w:lang w:val="en-US" w:eastAsia="zh-CN"/>
        </w:rPr>
        <w:br w:type="page"/>
      </w:r>
    </w:p>
    <w:p>
      <w:pPr>
        <w:pStyle w:val="11"/>
        <w:spacing w:line="520" w:lineRule="exact"/>
        <w:ind w:firstLine="0"/>
        <w:rPr>
          <w:rFonts w:hint="eastAsia" w:ascii="宋体" w:hAnsi="宋体" w:cs="宋体"/>
          <w:b/>
          <w:bCs/>
          <w:color w:val="auto"/>
          <w:spacing w:val="-6"/>
          <w:sz w:val="24"/>
          <w:szCs w:val="24"/>
          <w:highlight w:val="none"/>
          <w:lang w:val="en-US" w:eastAsia="zh-CN"/>
        </w:rPr>
      </w:pPr>
      <w:r>
        <w:rPr>
          <w:rFonts w:hint="eastAsia" w:ascii="宋体" w:hAnsi="宋体" w:cs="宋体"/>
          <w:b/>
          <w:bCs/>
          <w:color w:val="auto"/>
          <w:spacing w:val="-6"/>
          <w:sz w:val="24"/>
          <w:szCs w:val="24"/>
          <w:highlight w:val="none"/>
        </w:rPr>
        <w:t>1</w:t>
      </w:r>
      <w:r>
        <w:rPr>
          <w:rFonts w:ascii="宋体" w:hAnsi="宋体" w:cs="宋体"/>
          <w:b/>
          <w:bCs/>
          <w:color w:val="auto"/>
          <w:spacing w:val="-6"/>
          <w:sz w:val="24"/>
          <w:szCs w:val="24"/>
          <w:highlight w:val="none"/>
        </w:rPr>
        <w:t>.2.</w:t>
      </w:r>
      <w:r>
        <w:rPr>
          <w:rFonts w:hint="eastAsia" w:ascii="宋体" w:hAnsi="宋体" w:cs="宋体"/>
          <w:b/>
          <w:bCs/>
          <w:color w:val="auto"/>
          <w:spacing w:val="-6"/>
          <w:sz w:val="24"/>
          <w:szCs w:val="24"/>
          <w:highlight w:val="none"/>
          <w:lang w:val="en-US" w:eastAsia="zh-CN"/>
        </w:rPr>
        <w:t>4评分标准页码索引</w:t>
      </w:r>
    </w:p>
    <w:p>
      <w:pPr>
        <w:pStyle w:val="11"/>
        <w:spacing w:line="520" w:lineRule="exact"/>
        <w:ind w:firstLine="0"/>
        <w:rPr>
          <w:rFonts w:hint="eastAsia" w:ascii="宋体" w:hAnsi="宋体" w:cs="宋体"/>
          <w:b/>
          <w:bCs/>
          <w:color w:val="auto"/>
          <w:spacing w:val="-6"/>
          <w:sz w:val="24"/>
          <w:szCs w:val="24"/>
          <w:highlight w:val="none"/>
          <w:lang w:val="en-US" w:eastAsia="zh-CN"/>
        </w:rPr>
      </w:pPr>
    </w:p>
    <w:tbl>
      <w:tblPr>
        <w:tblStyle w:val="33"/>
        <w:tblW w:w="8880" w:type="dxa"/>
        <w:jc w:val="center"/>
        <w:tblInd w:w="0" w:type="dxa"/>
        <w:tblLayout w:type="fixed"/>
        <w:tblCellMar>
          <w:top w:w="0" w:type="dxa"/>
          <w:left w:w="108" w:type="dxa"/>
          <w:bottom w:w="0" w:type="dxa"/>
          <w:right w:w="108" w:type="dxa"/>
        </w:tblCellMar>
      </w:tblPr>
      <w:tblGrid>
        <w:gridCol w:w="763"/>
        <w:gridCol w:w="1736"/>
        <w:gridCol w:w="5410"/>
        <w:gridCol w:w="971"/>
      </w:tblGrid>
      <w:tr>
        <w:tblPrEx>
          <w:tblLayout w:type="fixed"/>
          <w:tblCellMar>
            <w:top w:w="0" w:type="dxa"/>
            <w:left w:w="108" w:type="dxa"/>
            <w:bottom w:w="0" w:type="dxa"/>
            <w:right w:w="108" w:type="dxa"/>
          </w:tblCellMar>
        </w:tblPrEx>
        <w:trPr>
          <w:trHeight w:val="1004" w:hRule="atLeast"/>
          <w:jc w:val="center"/>
        </w:trPr>
        <w:tc>
          <w:tcPr>
            <w:tcW w:w="763" w:type="dxa"/>
            <w:tcBorders>
              <w:top w:val="single" w:color="auto" w:sz="8" w:space="0"/>
              <w:left w:val="single" w:color="auto" w:sz="8" w:space="0"/>
              <w:bottom w:val="single" w:color="auto" w:sz="4" w:space="0"/>
              <w:right w:val="single" w:color="auto" w:sz="8" w:space="0"/>
            </w:tcBorders>
            <w:shd w:val="clear" w:color="000000" w:fill="FFFFFF"/>
            <w:vAlign w:val="center"/>
          </w:tcPr>
          <w:p>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1736" w:type="dxa"/>
            <w:tcBorders>
              <w:top w:val="single" w:color="auto" w:sz="8" w:space="0"/>
              <w:left w:val="nil"/>
              <w:bottom w:val="single" w:color="auto" w:sz="4" w:space="0"/>
              <w:right w:val="single" w:color="auto" w:sz="8" w:space="0"/>
            </w:tcBorders>
            <w:shd w:val="clear" w:color="000000" w:fill="FFFFFF"/>
            <w:vAlign w:val="center"/>
          </w:tcPr>
          <w:p>
            <w:pPr>
              <w:widowControl/>
              <w:spacing w:line="360" w:lineRule="auto"/>
              <w:ind w:firstLine="480" w:firstLineChars="200"/>
              <w:jc w:val="both"/>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评分项</w:t>
            </w:r>
          </w:p>
        </w:tc>
        <w:tc>
          <w:tcPr>
            <w:tcW w:w="5410" w:type="dxa"/>
            <w:tcBorders>
              <w:top w:val="single" w:color="auto" w:sz="8" w:space="0"/>
              <w:left w:val="nil"/>
              <w:bottom w:val="single" w:color="auto" w:sz="4" w:space="0"/>
              <w:right w:val="single" w:color="auto" w:sz="4" w:space="0"/>
            </w:tcBorders>
            <w:shd w:val="clear" w:color="000000" w:fill="FFFFFF"/>
            <w:vAlign w:val="center"/>
          </w:tcPr>
          <w:p>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评分</w:t>
            </w:r>
            <w:r>
              <w:rPr>
                <w:rFonts w:hint="eastAsia" w:ascii="宋体" w:hAnsi="宋体" w:eastAsia="宋体" w:cs="宋体"/>
                <w:kern w:val="0"/>
                <w:sz w:val="24"/>
                <w:szCs w:val="24"/>
                <w:lang w:val="en-US" w:eastAsia="zh-CN"/>
              </w:rPr>
              <w:t>标准</w:t>
            </w:r>
          </w:p>
        </w:tc>
        <w:tc>
          <w:tcPr>
            <w:tcW w:w="97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磋商响应文件页码</w:t>
            </w:r>
          </w:p>
        </w:tc>
      </w:tr>
      <w:tr>
        <w:tblPrEx>
          <w:tblLayout w:type="fixed"/>
          <w:tblCellMar>
            <w:top w:w="0" w:type="dxa"/>
            <w:left w:w="108" w:type="dxa"/>
            <w:bottom w:w="0" w:type="dxa"/>
            <w:right w:w="108" w:type="dxa"/>
          </w:tblCellMar>
        </w:tblPrEx>
        <w:trPr>
          <w:trHeight w:val="570" w:hRule="atLeast"/>
          <w:jc w:val="center"/>
        </w:trPr>
        <w:tc>
          <w:tcPr>
            <w:tcW w:w="76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73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60" w:lineRule="auto"/>
              <w:jc w:val="center"/>
              <w:rPr>
                <w:rFonts w:hint="eastAsia" w:ascii="宋体" w:hAnsi="宋体" w:eastAsia="宋体" w:cs="宋体"/>
                <w:kern w:val="0"/>
                <w:sz w:val="24"/>
                <w:szCs w:val="24"/>
              </w:rPr>
            </w:pPr>
          </w:p>
        </w:tc>
        <w:tc>
          <w:tcPr>
            <w:tcW w:w="5410"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line="360" w:lineRule="auto"/>
              <w:jc w:val="center"/>
              <w:rPr>
                <w:rFonts w:hint="eastAsia" w:ascii="宋体" w:hAnsi="宋体" w:eastAsia="宋体" w:cs="宋体"/>
                <w:kern w:val="0"/>
                <w:sz w:val="24"/>
                <w:szCs w:val="24"/>
              </w:rPr>
            </w:pPr>
          </w:p>
        </w:tc>
        <w:tc>
          <w:tcPr>
            <w:tcW w:w="97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60" w:lineRule="auto"/>
              <w:jc w:val="center"/>
              <w:rPr>
                <w:rFonts w:hint="eastAsia" w:ascii="宋体" w:hAnsi="宋体" w:eastAsia="宋体" w:cs="宋体"/>
                <w:kern w:val="0"/>
                <w:sz w:val="24"/>
                <w:szCs w:val="24"/>
              </w:rPr>
            </w:pPr>
          </w:p>
        </w:tc>
      </w:tr>
      <w:tr>
        <w:tblPrEx>
          <w:tblLayout w:type="fixed"/>
          <w:tblCellMar>
            <w:top w:w="0" w:type="dxa"/>
            <w:left w:w="108" w:type="dxa"/>
            <w:bottom w:w="0" w:type="dxa"/>
            <w:right w:w="108" w:type="dxa"/>
          </w:tblCellMar>
        </w:tblPrEx>
        <w:trPr>
          <w:trHeight w:val="570" w:hRule="atLeast"/>
          <w:jc w:val="center"/>
        </w:trPr>
        <w:tc>
          <w:tcPr>
            <w:tcW w:w="76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6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w:t>
            </w:r>
          </w:p>
        </w:tc>
        <w:tc>
          <w:tcPr>
            <w:tcW w:w="173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60" w:lineRule="auto"/>
              <w:jc w:val="center"/>
              <w:rPr>
                <w:rFonts w:hint="eastAsia" w:ascii="宋体" w:hAnsi="宋体" w:eastAsia="宋体" w:cs="宋体"/>
                <w:kern w:val="0"/>
                <w:sz w:val="24"/>
                <w:szCs w:val="24"/>
              </w:rPr>
            </w:pPr>
          </w:p>
        </w:tc>
        <w:tc>
          <w:tcPr>
            <w:tcW w:w="5410"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line="360" w:lineRule="auto"/>
              <w:jc w:val="center"/>
              <w:rPr>
                <w:rFonts w:hint="eastAsia" w:ascii="宋体" w:hAnsi="宋体" w:eastAsia="宋体" w:cs="宋体"/>
                <w:kern w:val="0"/>
                <w:sz w:val="24"/>
                <w:szCs w:val="24"/>
              </w:rPr>
            </w:pPr>
          </w:p>
        </w:tc>
        <w:tc>
          <w:tcPr>
            <w:tcW w:w="97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60" w:lineRule="auto"/>
              <w:jc w:val="center"/>
              <w:rPr>
                <w:rFonts w:hint="eastAsia" w:ascii="宋体" w:hAnsi="宋体" w:eastAsia="宋体" w:cs="宋体"/>
                <w:kern w:val="0"/>
                <w:sz w:val="24"/>
                <w:szCs w:val="24"/>
              </w:rPr>
            </w:pPr>
          </w:p>
        </w:tc>
      </w:tr>
      <w:tr>
        <w:tblPrEx>
          <w:tblLayout w:type="fixed"/>
          <w:tblCellMar>
            <w:top w:w="0" w:type="dxa"/>
            <w:left w:w="108" w:type="dxa"/>
            <w:bottom w:w="0" w:type="dxa"/>
            <w:right w:w="108" w:type="dxa"/>
          </w:tblCellMar>
        </w:tblPrEx>
        <w:trPr>
          <w:trHeight w:val="570" w:hRule="atLeast"/>
          <w:jc w:val="center"/>
        </w:trPr>
        <w:tc>
          <w:tcPr>
            <w:tcW w:w="76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6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w:t>
            </w:r>
          </w:p>
        </w:tc>
        <w:tc>
          <w:tcPr>
            <w:tcW w:w="173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60" w:lineRule="auto"/>
              <w:jc w:val="center"/>
              <w:rPr>
                <w:rFonts w:hint="eastAsia" w:ascii="宋体" w:hAnsi="宋体" w:eastAsia="宋体" w:cs="宋体"/>
                <w:kern w:val="0"/>
                <w:sz w:val="24"/>
                <w:szCs w:val="24"/>
              </w:rPr>
            </w:pPr>
          </w:p>
        </w:tc>
        <w:tc>
          <w:tcPr>
            <w:tcW w:w="5410"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line="360" w:lineRule="auto"/>
              <w:jc w:val="center"/>
              <w:rPr>
                <w:rFonts w:hint="eastAsia" w:ascii="宋体" w:hAnsi="宋体" w:eastAsia="宋体" w:cs="宋体"/>
                <w:kern w:val="0"/>
                <w:sz w:val="24"/>
                <w:szCs w:val="24"/>
              </w:rPr>
            </w:pPr>
          </w:p>
        </w:tc>
        <w:tc>
          <w:tcPr>
            <w:tcW w:w="97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60" w:lineRule="auto"/>
              <w:jc w:val="center"/>
              <w:rPr>
                <w:rFonts w:hint="eastAsia" w:ascii="宋体" w:hAnsi="宋体" w:eastAsia="宋体" w:cs="宋体"/>
                <w:kern w:val="0"/>
                <w:sz w:val="24"/>
                <w:szCs w:val="24"/>
              </w:rPr>
            </w:pPr>
          </w:p>
        </w:tc>
      </w:tr>
      <w:tr>
        <w:tblPrEx>
          <w:tblLayout w:type="fixed"/>
          <w:tblCellMar>
            <w:top w:w="0" w:type="dxa"/>
            <w:left w:w="108" w:type="dxa"/>
            <w:bottom w:w="0" w:type="dxa"/>
            <w:right w:w="108" w:type="dxa"/>
          </w:tblCellMar>
        </w:tblPrEx>
        <w:trPr>
          <w:trHeight w:val="570" w:hRule="atLeast"/>
          <w:jc w:val="center"/>
        </w:trPr>
        <w:tc>
          <w:tcPr>
            <w:tcW w:w="763"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line="36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w:t>
            </w:r>
          </w:p>
        </w:tc>
        <w:tc>
          <w:tcPr>
            <w:tcW w:w="173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60" w:lineRule="auto"/>
              <w:jc w:val="center"/>
              <w:rPr>
                <w:rFonts w:hint="eastAsia" w:ascii="宋体" w:hAnsi="宋体" w:eastAsia="宋体" w:cs="宋体"/>
                <w:kern w:val="0"/>
                <w:sz w:val="24"/>
                <w:szCs w:val="24"/>
              </w:rPr>
            </w:pPr>
          </w:p>
        </w:tc>
        <w:tc>
          <w:tcPr>
            <w:tcW w:w="5410"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line="360" w:lineRule="auto"/>
              <w:jc w:val="center"/>
              <w:rPr>
                <w:rFonts w:hint="eastAsia" w:ascii="宋体" w:hAnsi="宋体" w:eastAsia="宋体" w:cs="宋体"/>
                <w:sz w:val="24"/>
                <w:szCs w:val="24"/>
              </w:rPr>
            </w:pPr>
          </w:p>
        </w:tc>
        <w:tc>
          <w:tcPr>
            <w:tcW w:w="97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60" w:lineRule="auto"/>
              <w:jc w:val="center"/>
              <w:rPr>
                <w:rFonts w:hint="eastAsia" w:ascii="宋体" w:hAnsi="宋体" w:eastAsia="宋体" w:cs="宋体"/>
                <w:kern w:val="0"/>
                <w:sz w:val="24"/>
                <w:szCs w:val="24"/>
              </w:rPr>
            </w:pPr>
          </w:p>
        </w:tc>
      </w:tr>
      <w:tr>
        <w:tblPrEx>
          <w:tblLayout w:type="fixed"/>
          <w:tblCellMar>
            <w:top w:w="0" w:type="dxa"/>
            <w:left w:w="108" w:type="dxa"/>
            <w:bottom w:w="0" w:type="dxa"/>
            <w:right w:w="108" w:type="dxa"/>
          </w:tblCellMar>
        </w:tblPrEx>
        <w:trPr>
          <w:trHeight w:val="570" w:hRule="atLeast"/>
          <w:jc w:val="center"/>
        </w:trPr>
        <w:tc>
          <w:tcPr>
            <w:tcW w:w="763"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line="36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w:t>
            </w:r>
          </w:p>
        </w:tc>
        <w:tc>
          <w:tcPr>
            <w:tcW w:w="173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60" w:lineRule="auto"/>
              <w:jc w:val="center"/>
              <w:rPr>
                <w:rFonts w:hint="eastAsia" w:ascii="宋体" w:hAnsi="宋体" w:eastAsia="宋体" w:cs="宋体"/>
                <w:kern w:val="0"/>
                <w:sz w:val="24"/>
                <w:szCs w:val="24"/>
              </w:rPr>
            </w:pPr>
          </w:p>
        </w:tc>
        <w:tc>
          <w:tcPr>
            <w:tcW w:w="5410"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line="360" w:lineRule="auto"/>
              <w:jc w:val="center"/>
              <w:rPr>
                <w:rFonts w:hint="eastAsia" w:ascii="宋体" w:hAnsi="宋体" w:eastAsia="宋体" w:cs="宋体"/>
                <w:sz w:val="24"/>
                <w:szCs w:val="24"/>
              </w:rPr>
            </w:pPr>
          </w:p>
        </w:tc>
        <w:tc>
          <w:tcPr>
            <w:tcW w:w="97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60" w:lineRule="auto"/>
              <w:jc w:val="center"/>
              <w:rPr>
                <w:rFonts w:hint="eastAsia" w:ascii="宋体" w:hAnsi="宋体" w:eastAsia="宋体" w:cs="宋体"/>
                <w:kern w:val="0"/>
                <w:sz w:val="24"/>
                <w:szCs w:val="24"/>
              </w:rPr>
            </w:pPr>
          </w:p>
        </w:tc>
      </w:tr>
      <w:tr>
        <w:tblPrEx>
          <w:tblLayout w:type="fixed"/>
          <w:tblCellMar>
            <w:top w:w="0" w:type="dxa"/>
            <w:left w:w="108" w:type="dxa"/>
            <w:bottom w:w="0" w:type="dxa"/>
            <w:right w:w="108" w:type="dxa"/>
          </w:tblCellMar>
        </w:tblPrEx>
        <w:trPr>
          <w:trHeight w:val="570" w:hRule="atLeast"/>
          <w:jc w:val="center"/>
        </w:trPr>
        <w:tc>
          <w:tcPr>
            <w:tcW w:w="763"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line="36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w:t>
            </w:r>
          </w:p>
        </w:tc>
        <w:tc>
          <w:tcPr>
            <w:tcW w:w="173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60" w:lineRule="auto"/>
              <w:jc w:val="center"/>
              <w:rPr>
                <w:rFonts w:hint="eastAsia" w:ascii="宋体" w:hAnsi="宋体" w:eastAsia="宋体" w:cs="宋体"/>
                <w:kern w:val="0"/>
                <w:sz w:val="24"/>
                <w:szCs w:val="24"/>
              </w:rPr>
            </w:pPr>
          </w:p>
        </w:tc>
        <w:tc>
          <w:tcPr>
            <w:tcW w:w="5410"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line="360" w:lineRule="auto"/>
              <w:jc w:val="center"/>
              <w:rPr>
                <w:rFonts w:hint="eastAsia" w:ascii="宋体" w:hAnsi="宋体" w:eastAsia="宋体" w:cs="宋体"/>
                <w:sz w:val="24"/>
                <w:szCs w:val="24"/>
              </w:rPr>
            </w:pPr>
          </w:p>
        </w:tc>
        <w:tc>
          <w:tcPr>
            <w:tcW w:w="97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60" w:lineRule="auto"/>
              <w:jc w:val="center"/>
              <w:rPr>
                <w:rFonts w:hint="eastAsia" w:ascii="宋体" w:hAnsi="宋体" w:eastAsia="宋体" w:cs="宋体"/>
                <w:kern w:val="0"/>
                <w:sz w:val="24"/>
                <w:szCs w:val="24"/>
              </w:rPr>
            </w:pPr>
          </w:p>
        </w:tc>
      </w:tr>
      <w:tr>
        <w:tblPrEx>
          <w:tblLayout w:type="fixed"/>
          <w:tblCellMar>
            <w:top w:w="0" w:type="dxa"/>
            <w:left w:w="108" w:type="dxa"/>
            <w:bottom w:w="0" w:type="dxa"/>
            <w:right w:w="108" w:type="dxa"/>
          </w:tblCellMar>
        </w:tblPrEx>
        <w:trPr>
          <w:trHeight w:val="570" w:hRule="atLeast"/>
          <w:jc w:val="center"/>
        </w:trPr>
        <w:tc>
          <w:tcPr>
            <w:tcW w:w="763"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line="36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w:t>
            </w:r>
          </w:p>
        </w:tc>
        <w:tc>
          <w:tcPr>
            <w:tcW w:w="173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60" w:lineRule="auto"/>
              <w:jc w:val="center"/>
              <w:rPr>
                <w:rFonts w:hint="eastAsia" w:ascii="宋体" w:hAnsi="宋体" w:eastAsia="宋体" w:cs="宋体"/>
                <w:kern w:val="0"/>
                <w:sz w:val="24"/>
                <w:szCs w:val="24"/>
              </w:rPr>
            </w:pPr>
          </w:p>
        </w:tc>
        <w:tc>
          <w:tcPr>
            <w:tcW w:w="5410"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line="360" w:lineRule="auto"/>
              <w:jc w:val="center"/>
              <w:rPr>
                <w:rFonts w:hint="eastAsia" w:ascii="宋体" w:hAnsi="宋体" w:eastAsia="宋体" w:cs="宋体"/>
                <w:sz w:val="24"/>
                <w:szCs w:val="24"/>
              </w:rPr>
            </w:pPr>
          </w:p>
        </w:tc>
        <w:tc>
          <w:tcPr>
            <w:tcW w:w="97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60" w:lineRule="auto"/>
              <w:jc w:val="center"/>
              <w:rPr>
                <w:rFonts w:hint="eastAsia" w:ascii="宋体" w:hAnsi="宋体" w:eastAsia="宋体" w:cs="宋体"/>
                <w:kern w:val="0"/>
                <w:sz w:val="24"/>
                <w:szCs w:val="24"/>
              </w:rPr>
            </w:pPr>
          </w:p>
        </w:tc>
      </w:tr>
    </w:tbl>
    <w:p>
      <w:pPr>
        <w:pStyle w:val="11"/>
        <w:spacing w:line="520" w:lineRule="exact"/>
        <w:ind w:firstLine="0"/>
        <w:rPr>
          <w:rFonts w:hint="eastAsia" w:ascii="宋体" w:hAnsi="宋体" w:cs="宋体"/>
          <w:b/>
          <w:bCs/>
          <w:color w:val="auto"/>
          <w:spacing w:val="-6"/>
          <w:sz w:val="24"/>
          <w:szCs w:val="24"/>
          <w:highlight w:val="none"/>
          <w:lang w:val="en-US" w:eastAsia="zh-CN"/>
        </w:rPr>
      </w:pPr>
    </w:p>
    <w:p>
      <w:pPr>
        <w:pStyle w:val="11"/>
        <w:spacing w:line="520" w:lineRule="exact"/>
        <w:ind w:firstLine="0"/>
        <w:rPr>
          <w:rFonts w:ascii="宋体" w:hAnsi="宋体"/>
          <w:b/>
          <w:bCs/>
          <w:color w:val="auto"/>
          <w:sz w:val="24"/>
          <w:szCs w:val="24"/>
          <w:highlight w:val="none"/>
        </w:rPr>
      </w:pPr>
    </w:p>
    <w:p>
      <w:pPr>
        <w:pStyle w:val="35"/>
        <w:ind w:left="0" w:leftChars="0" w:firstLine="0" w:firstLineChars="0"/>
      </w:pPr>
    </w:p>
    <w:sectPr>
      <w:footerReference r:id="rId8" w:type="default"/>
      <w:footerReference r:id="rId9" w:type="even"/>
      <w:pgSz w:w="11906" w:h="16838"/>
      <w:pgMar w:top="1304" w:right="1531" w:bottom="1304" w:left="1531" w:header="851" w:footer="992" w:gutter="0"/>
      <w:cols w:space="720" w:num="1"/>
      <w:docGrid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yang" w:date="2025-05-30T11:34:33Z" w:initials="y">
    <w:p>
      <w:pPr>
        <w:pStyle w:val="14"/>
        <w:rPr>
          <w:rFonts w:hint="eastAsia" w:eastAsia="宋体"/>
          <w:lang w:val="en-US" w:eastAsia="zh-CN"/>
        </w:rPr>
      </w:pPr>
      <w:r>
        <w:rPr>
          <w:rFonts w:hint="eastAsia"/>
          <w:lang w:val="en-US" w:eastAsia="zh-CN"/>
        </w:rPr>
        <w:t>打星号的条款必须要满足，新增了由中标人负责屋顶等租赁标的物的维护。</w:t>
      </w:r>
    </w:p>
  </w:comment>
  <w:comment w:id="1" w:author="yang" w:date="2025-05-30T11:35:35Z" w:initials="y">
    <w:p>
      <w:pPr>
        <w:pStyle w:val="14"/>
        <w:rPr>
          <w:rFonts w:hint="eastAsia" w:eastAsia="宋体"/>
          <w:lang w:val="en-US" w:eastAsia="zh-CN"/>
        </w:rPr>
      </w:pPr>
      <w:r>
        <w:rPr>
          <w:rFonts w:hint="eastAsia"/>
          <w:lang w:val="en-US" w:eastAsia="zh-CN"/>
        </w:rPr>
        <w:t>如签约20年，需要以15+5的形式</w:t>
      </w:r>
    </w:p>
  </w:comment>
  <w:comment w:id="2" w:author="yang" w:date="2025-05-30T11:36:22Z" w:initials="y">
    <w:p>
      <w:pPr>
        <w:pStyle w:val="14"/>
        <w:rPr>
          <w:rFonts w:hint="eastAsia" w:eastAsia="宋体"/>
          <w:lang w:val="en-US" w:eastAsia="zh-CN"/>
        </w:rPr>
      </w:pPr>
      <w:r>
        <w:rPr>
          <w:rFonts w:hint="eastAsia"/>
          <w:lang w:val="en-US" w:eastAsia="zh-CN"/>
        </w:rPr>
        <w:t>删除了“未经双方协商一致，甲方不得使用替代电源或其他主体销售的电力”</w:t>
      </w:r>
    </w:p>
  </w:comment>
  <w:comment w:id="3" w:author="yang" w:date="2025-05-30T11:37:22Z" w:initials="y">
    <w:p>
      <w:pPr>
        <w:pStyle w:val="14"/>
        <w:rPr>
          <w:rFonts w:hint="eastAsia" w:eastAsia="宋体"/>
          <w:lang w:val="en-US" w:eastAsia="zh-CN"/>
        </w:rPr>
      </w:pPr>
      <w:r>
        <w:rPr>
          <w:rFonts w:hint="eastAsia"/>
          <w:lang w:val="en-US" w:eastAsia="zh-CN"/>
        </w:rPr>
        <w:t>原本是每月10号前支付，改成了收到付款通知后的15天内支付</w:t>
      </w:r>
    </w:p>
  </w:comment>
  <w:comment w:id="4" w:author="yang" w:date="2025-05-30T11:38:03Z" w:initials="y">
    <w:p>
      <w:pPr>
        <w:pStyle w:val="14"/>
        <w:rPr>
          <w:rFonts w:hint="eastAsia" w:eastAsia="宋体"/>
          <w:lang w:val="en-US" w:eastAsia="zh-CN"/>
        </w:rPr>
      </w:pPr>
      <w:r>
        <w:rPr>
          <w:rFonts w:hint="eastAsia"/>
          <w:lang w:val="en-US" w:eastAsia="zh-CN"/>
        </w:rPr>
        <w:t>新增“</w:t>
      </w:r>
      <w:r>
        <w:rPr>
          <w:rFonts w:hint="eastAsia" w:ascii="宋体" w:hAnsi="宋体" w:cs="宋体"/>
          <w:b w:val="0"/>
          <w:i w:val="0"/>
          <w:strike w:val="0"/>
          <w:dstrike w:val="0"/>
          <w:color w:val="000000"/>
          <w:sz w:val="24"/>
          <w:szCs w:val="24"/>
          <w:lang w:val="en-US" w:eastAsia="zh-CN"/>
        </w:rPr>
        <w:t>如有以甲方为申报主体的补贴款归甲方所有</w:t>
      </w:r>
      <w:r>
        <w:rPr>
          <w:rFonts w:hint="eastAsia"/>
          <w:lang w:val="en-US" w:eastAsia="zh-CN"/>
        </w:rPr>
        <w:t>”。</w:t>
      </w:r>
    </w:p>
  </w:comment>
  <w:comment w:id="5" w:author="yang" w:date="2025-05-30T11:38:46Z" w:initials="y">
    <w:p>
      <w:pPr>
        <w:pStyle w:val="14"/>
        <w:rPr>
          <w:rFonts w:hint="eastAsia" w:eastAsia="宋体"/>
          <w:lang w:val="en-US" w:eastAsia="zh-CN"/>
        </w:rPr>
      </w:pPr>
      <w:r>
        <w:rPr>
          <w:rFonts w:hint="eastAsia"/>
          <w:lang w:val="en-US" w:eastAsia="zh-CN"/>
        </w:rPr>
        <w:t>改成了由乙方全权负责租赁标的物及光伏电站的维护。</w:t>
      </w:r>
    </w:p>
  </w:comment>
  <w:comment w:id="6" w:author="yang" w:date="2025-05-30T11:39:34Z" w:initials="y">
    <w:p>
      <w:pPr>
        <w:pStyle w:val="14"/>
        <w:rPr>
          <w:rFonts w:hint="eastAsia" w:eastAsia="宋体"/>
          <w:lang w:val="en-US" w:eastAsia="zh-CN"/>
        </w:rPr>
      </w:pPr>
      <w:r>
        <w:rPr>
          <w:rFonts w:hint="eastAsia"/>
          <w:lang w:val="en-US" w:eastAsia="zh-CN"/>
        </w:rPr>
        <w:t>二期工程，乙方无条件响应。</w:t>
      </w:r>
    </w:p>
  </w:comment>
  <w:comment w:id="7" w:author="yang" w:date="2025-05-30T11:40:00Z" w:initials="y">
    <w:p>
      <w:pPr>
        <w:pStyle w:val="14"/>
        <w:rPr>
          <w:rFonts w:hint="eastAsia" w:eastAsia="宋体"/>
          <w:lang w:val="en-US" w:eastAsia="zh-CN"/>
        </w:rPr>
      </w:pPr>
      <w:r>
        <w:rPr>
          <w:rFonts w:hint="eastAsia"/>
          <w:lang w:val="en-US" w:eastAsia="zh-CN"/>
        </w:rPr>
        <w:t>二期工程甲方根据实际需求，一旦提出，乙方需无条件响应，</w:t>
      </w:r>
      <w:r>
        <w:rPr>
          <w:rFonts w:hint="default" w:ascii="宋体" w:hAnsi="宋体" w:eastAsia="宋体" w:cs="宋体"/>
          <w:sz w:val="24"/>
          <w:szCs w:val="24"/>
        </w:rPr>
        <w:t>二期工程建设范围、装机容量、电价优惠等具体内容由甲乙双方另行协商</w:t>
      </w:r>
      <w:r>
        <w:rPr>
          <w:rFonts w:hint="eastAsia" w:ascii="宋体" w:hAnsi="宋体" w:eastAsia="宋体" w:cs="宋体"/>
          <w:sz w:val="24"/>
          <w:szCs w:val="24"/>
          <w:lang w:eastAsia="zh-CN"/>
        </w:rPr>
        <w:t>。</w:t>
      </w:r>
    </w:p>
  </w:comment>
  <w:comment w:id="8" w:author="yang" w:date="2025-05-30T11:41:26Z" w:initials="y">
    <w:p>
      <w:pPr>
        <w:pStyle w:val="14"/>
        <w:rPr>
          <w:rFonts w:hint="eastAsia" w:eastAsia="宋体"/>
          <w:lang w:val="en-US" w:eastAsia="zh-CN"/>
        </w:rPr>
      </w:pPr>
      <w:r>
        <w:rPr>
          <w:rFonts w:hint="eastAsia"/>
          <w:lang w:val="en-US" w:eastAsia="zh-CN"/>
        </w:rPr>
        <w:t>储能不作强制要求，由双方协商确定。</w:t>
      </w:r>
    </w:p>
  </w:comment>
  <w:comment w:id="9" w:author="yang" w:date="2025-05-30T11:42:56Z" w:initials="y">
    <w:p>
      <w:pPr>
        <w:numPr>
          <w:numId w:val="0"/>
        </w:numPr>
        <w:tabs>
          <w:tab w:val="left" w:pos="840"/>
        </w:tabs>
        <w:spacing w:beforeLines="0" w:afterLines="0" w:line="240" w:lineRule="auto"/>
        <w:ind w:left="840" w:leftChars="0" w:right="0" w:rightChars="0"/>
        <w:jc w:val="both"/>
        <w:rPr>
          <w:rFonts w:ascii="宋体" w:hAnsi="宋体" w:eastAsia="宋体" w:cs="宋体"/>
          <w:sz w:val="18"/>
          <w:szCs w:val="18"/>
          <w:highlight w:val="yellow"/>
        </w:rPr>
      </w:pPr>
      <w:r>
        <w:rPr>
          <w:rFonts w:hint="eastAsia"/>
          <w:lang w:val="en-US" w:eastAsia="zh-CN"/>
        </w:rPr>
        <w:t>原条款“</w:t>
      </w:r>
      <w:r>
        <w:rPr>
          <w:rFonts w:ascii="宋体" w:hAnsi="宋体" w:eastAsia="宋体" w:cs="宋体"/>
          <w:b w:val="0"/>
          <w:i w:val="0"/>
          <w:strike w:val="0"/>
          <w:dstrike w:val="0"/>
          <w:color w:val="000000"/>
          <w:sz w:val="18"/>
          <w:highlight w:val="yellow"/>
        </w:rPr>
        <w:t>甲方使用本项目所发电量持续三个月以上低于本项目当月乙方最大发电量的</w:t>
      </w:r>
      <w:r>
        <w:rPr>
          <w:rFonts w:hint="eastAsia" w:ascii="宋体" w:hAnsi="宋体" w:cs="宋体"/>
          <w:b w:val="0"/>
          <w:i w:val="0"/>
          <w:strike w:val="0"/>
          <w:dstrike w:val="0"/>
          <w:color w:val="000000"/>
          <w:sz w:val="18"/>
          <w:highlight w:val="yellow"/>
          <w:lang w:val="en-US" w:eastAsia="zh-CN"/>
        </w:rPr>
        <w:t>5</w:t>
      </w:r>
      <w:r>
        <w:rPr>
          <w:rFonts w:ascii="宋体" w:hAnsi="宋体" w:eastAsia="宋体" w:cs="宋体"/>
          <w:b w:val="0"/>
          <w:i w:val="0"/>
          <w:strike w:val="0"/>
          <w:dstrike w:val="0"/>
          <w:color w:val="000000"/>
          <w:sz w:val="18"/>
          <w:highlight w:val="yellow"/>
        </w:rPr>
        <w:t>0%；</w:t>
      </w:r>
    </w:p>
    <w:p>
      <w:pPr>
        <w:numPr>
          <w:ilvl w:val="0"/>
          <w:numId w:val="4"/>
        </w:numPr>
        <w:tabs>
          <w:tab w:val="left" w:pos="840"/>
        </w:tabs>
        <w:spacing w:beforeLines="0" w:afterLines="0" w:line="240" w:lineRule="auto"/>
        <w:ind w:left="1265" w:leftChars="0" w:rightChars="0" w:hanging="425" w:firstLineChars="0"/>
        <w:jc w:val="both"/>
        <w:rPr>
          <w:rFonts w:ascii="宋体" w:hAnsi="宋体" w:eastAsia="宋体" w:cs="宋体"/>
          <w:sz w:val="18"/>
          <w:szCs w:val="18"/>
          <w:highlight w:val="yellow"/>
        </w:rPr>
      </w:pPr>
      <w:r>
        <w:rPr>
          <w:rFonts w:ascii="宋体" w:hAnsi="宋体" w:eastAsia="宋体" w:cs="宋体"/>
          <w:b w:val="0"/>
          <w:i w:val="0"/>
          <w:strike w:val="0"/>
          <w:dstrike w:val="0"/>
          <w:color w:val="000000"/>
          <w:sz w:val="18"/>
          <w:highlight w:val="yellow"/>
        </w:rPr>
        <w:t>甲方拖欠乙方应付电费的时间累计超过三（3）个月的或累计逾期超过</w:t>
      </w:r>
      <w:r>
        <w:rPr>
          <w:rFonts w:hint="eastAsia" w:ascii="宋体" w:hAnsi="宋体" w:cs="宋体"/>
          <w:b w:val="0"/>
          <w:i w:val="0"/>
          <w:strike w:val="0"/>
          <w:dstrike w:val="0"/>
          <w:color w:val="000000"/>
          <w:sz w:val="18"/>
          <w:highlight w:val="yellow"/>
          <w:lang w:val="en-US" w:eastAsia="zh-CN"/>
        </w:rPr>
        <w:t>3</w:t>
      </w:r>
      <w:r>
        <w:rPr>
          <w:rFonts w:ascii="宋体" w:hAnsi="宋体" w:eastAsia="宋体" w:cs="宋体"/>
          <w:b w:val="0"/>
          <w:i w:val="0"/>
          <w:strike w:val="0"/>
          <w:dstrike w:val="0"/>
          <w:color w:val="000000"/>
          <w:sz w:val="18"/>
          <w:highlight w:val="yellow"/>
        </w:rPr>
        <w:t>次的；</w:t>
      </w:r>
    </w:p>
    <w:p>
      <w:pPr>
        <w:numPr>
          <w:ilvl w:val="0"/>
          <w:numId w:val="5"/>
        </w:numPr>
        <w:tabs>
          <w:tab w:val="left" w:pos="840"/>
        </w:tabs>
        <w:spacing w:beforeLines="0" w:afterLines="0" w:line="240" w:lineRule="auto"/>
        <w:ind w:left="1265" w:leftChars="0" w:rightChars="0" w:hanging="425" w:firstLineChars="0"/>
        <w:jc w:val="both"/>
        <w:rPr>
          <w:rFonts w:hint="eastAsia" w:eastAsia="宋体"/>
          <w:lang w:val="en-US" w:eastAsia="zh-CN"/>
        </w:rPr>
      </w:pPr>
      <w:r>
        <w:rPr>
          <w:rFonts w:ascii="宋体" w:hAnsi="宋体" w:eastAsia="宋体" w:cs="宋体"/>
          <w:b w:val="0"/>
          <w:i w:val="0"/>
          <w:strike w:val="0"/>
          <w:dstrike w:val="0"/>
          <w:color w:val="000000"/>
          <w:sz w:val="18"/>
          <w:highlight w:val="yellow"/>
        </w:rPr>
        <w:t>甲方因停产、歇业、并购重组、控制人变更、搬离现有厂区致使厂房空置等原因导致甲方用电负荷显著减少（含消失）或供用电关系无法继续履行的。</w:t>
      </w:r>
      <w:r>
        <w:rPr>
          <w:rFonts w:hint="eastAsia" w:ascii="宋体" w:hAnsi="宋体" w:eastAsia="宋体" w:cs="宋体"/>
          <w:b w:val="0"/>
          <w:i w:val="0"/>
          <w:strike w:val="0"/>
          <w:dstrike w:val="0"/>
          <w:color w:val="000000"/>
          <w:sz w:val="18"/>
          <w:highlight w:val="yellow"/>
          <w:lang w:eastAsia="zh-CN"/>
        </w:rPr>
        <w:t>”</w:t>
      </w:r>
    </w:p>
    <w:p>
      <w:pPr>
        <w:pStyle w:val="2"/>
        <w:rPr>
          <w:rFonts w:hint="eastAsia"/>
          <w:highlight w:val="none"/>
          <w:lang w:val="en-US" w:eastAsia="zh-CN"/>
        </w:rPr>
      </w:pPr>
      <w:r>
        <w:rPr>
          <w:rFonts w:hint="eastAsia" w:ascii="宋体" w:hAnsi="宋体" w:eastAsia="宋体" w:cs="宋体"/>
          <w:b w:val="0"/>
          <w:i w:val="0"/>
          <w:strike w:val="0"/>
          <w:dstrike w:val="0"/>
          <w:color w:val="000000"/>
          <w:sz w:val="18"/>
          <w:highlight w:val="none"/>
          <w:lang w:val="en-US" w:eastAsia="zh-CN"/>
        </w:rPr>
        <w:t>删除了a和c，对b做了修改</w:t>
      </w:r>
    </w:p>
  </w:comment>
  <w:comment w:id="10" w:author="yang" w:date="2025-05-30T11:42:16Z" w:initials="y">
    <w:p>
      <w:pPr>
        <w:pStyle w:val="14"/>
        <w:rPr>
          <w:rFonts w:hint="eastAsia" w:eastAsia="宋体"/>
          <w:lang w:val="en-US" w:eastAsia="zh-CN"/>
        </w:rPr>
      </w:pPr>
      <w:r>
        <w:rPr>
          <w:rFonts w:hint="eastAsia"/>
          <w:lang w:val="en-US" w:eastAsia="zh-CN"/>
        </w:rPr>
        <w:t>增加了乙方如不履行二期工程义务</w:t>
      </w:r>
      <w:bookmarkStart w:id="24" w:name="_GoBack"/>
      <w:bookmarkEnd w:id="24"/>
      <w:r>
        <w:rPr>
          <w:rFonts w:hint="eastAsia"/>
          <w:lang w:val="en-US" w:eastAsia="zh-CN"/>
        </w:rPr>
        <w:t>，要支付违约金</w:t>
      </w:r>
    </w:p>
  </w:comment>
  <w:comment w:id="11" w:author="yang" w:date="2025-05-30T11:55:23Z" w:initials="y">
    <w:p>
      <w:pPr>
        <w:pStyle w:val="14"/>
        <w:rPr>
          <w:rFonts w:hint="eastAsia" w:eastAsia="宋体"/>
          <w:lang w:val="en-US" w:eastAsia="zh-CN"/>
        </w:rPr>
      </w:pPr>
      <w:r>
        <w:rPr>
          <w:rFonts w:hint="eastAsia"/>
          <w:lang w:val="en-US" w:eastAsia="zh-CN"/>
        </w:rPr>
        <w:t>新增9.4条款</w:t>
      </w:r>
    </w:p>
  </w:comment>
  <w:comment w:id="12" w:author="yang" w:date="2025-05-30T11:45:41Z" w:initials="y">
    <w:p>
      <w:pPr>
        <w:pStyle w:val="14"/>
        <w:rPr>
          <w:rFonts w:hint="eastAsia" w:eastAsia="宋体"/>
          <w:lang w:val="en-US" w:eastAsia="zh-CN"/>
        </w:rPr>
      </w:pPr>
      <w:r>
        <w:rPr>
          <w:rFonts w:hint="eastAsia"/>
          <w:lang w:val="en-US" w:eastAsia="zh-CN"/>
        </w:rPr>
        <w:t>增加了9.5条款</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roman"/>
    <w:pitch w:val="variable"/>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Arial">
    <w:panose1 w:val="020B0604020202020204"/>
    <w:charset w:val="01"/>
    <w:family w:val="decorative"/>
    <w:pitch w:val="default"/>
    <w:sig w:usb0="E0002EFF" w:usb1="C000785B" w:usb2="00000009" w:usb3="00000000" w:csb0="400001FF" w:csb1="FFFF0000"/>
  </w:font>
  <w:font w:name="Courier New">
    <w:panose1 w:val="02070309020205020404"/>
    <w:charset w:val="01"/>
    <w:family w:val="swiss"/>
    <w:pitch w:val="default"/>
    <w:sig w:usb0="E0002E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6FF" w:usb1="420024FF" w:usb2="02000000" w:usb3="00000000" w:csb0="2000019F" w:csb1="00000000"/>
  </w:font>
  <w:font w:name="Calibri">
    <w:panose1 w:val="020F0502020204030204"/>
    <w:charset w:val="00"/>
    <w:family w:val="roman"/>
    <w:pitch w:val="default"/>
    <w:sig w:usb0="E4002EFF" w:usb1="C000247B" w:usb2="00000009" w:usb3="00000000" w:csb0="200001FF" w:csb1="00000000"/>
  </w:font>
  <w:font w:name="Arial">
    <w:panose1 w:val="020B0604020202020204"/>
    <w:charset w:val="01"/>
    <w:family w:val="roman"/>
    <w:pitch w:val="default"/>
    <w:sig w:usb0="E0002EFF" w:usb1="C000785B" w:usb2="00000009" w:usb3="00000000" w:csb0="400001FF" w:csb1="FFFF0000"/>
  </w:font>
  <w:font w:name="Courier New">
    <w:panose1 w:val="02070309020205020404"/>
    <w:charset w:val="01"/>
    <w:family w:val="decorative"/>
    <w:pitch w:val="default"/>
    <w:sig w:usb0="E0002E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6FF" w:usb1="420024FF" w:usb2="02000000"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decorative"/>
    <w:pitch w:val="default"/>
    <w:sig w:usb0="00000000" w:usb1="0000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创艺简标宋">
    <w:altName w:val="黑体"/>
    <w:panose1 w:val="00000000000000000000"/>
    <w:charset w:val="86"/>
    <w:family w:val="auto"/>
    <w:pitch w:val="default"/>
    <w:sig w:usb0="00000000" w:usb1="00000000" w:usb2="00000010" w:usb3="00000000" w:csb0="00040000" w:csb1="00000000"/>
  </w:font>
  <w:font w:name="Tahoma">
    <w:panose1 w:val="020B0604030504040204"/>
    <w:charset w:val="00"/>
    <w:family w:val="roman"/>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Calibri">
    <w:panose1 w:val="020F0502020204030204"/>
    <w:charset w:val="00"/>
    <w:family w:val="modern"/>
    <w:pitch w:val="default"/>
    <w:sig w:usb0="E4002EFF" w:usb1="C000247B" w:usb2="00000009" w:usb3="00000000" w:csb0="200001FF" w:csb1="00000000"/>
  </w:font>
  <w:font w:name="Arial">
    <w:panose1 w:val="020B0604020202020204"/>
    <w:charset w:val="01"/>
    <w:family w:val="modern"/>
    <w:pitch w:val="default"/>
    <w:sig w:usb0="E0002EFF" w:usb1="C000785B" w:usb2="00000009" w:usb3="00000000" w:csb0="400001FF" w:csb1="FFFF0000"/>
  </w:font>
  <w:font w:name="Courier New">
    <w:panose1 w:val="02070309020205020404"/>
    <w:charset w:val="01"/>
    <w:family w:val="roman"/>
    <w:pitch w:val="default"/>
    <w:sig w:usb0="E0002E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roman"/>
    <w:pitch w:val="default"/>
    <w:sig w:usb0="800002BF" w:usb1="38CF7CFA" w:usb2="00000016" w:usb3="00000000" w:csb0="00040001" w:csb1="00000000"/>
  </w:font>
  <w:font w:name="Tahoma">
    <w:panose1 w:val="020B0604030504040204"/>
    <w:charset w:val="00"/>
    <w:family w:val="modern"/>
    <w:pitch w:val="default"/>
    <w:sig w:usb0="E1002EFF" w:usb1="C000605B" w:usb2="00000029" w:usb3="00000000" w:csb0="200101FF" w:csb1="2028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swiss"/>
    <w:pitch w:val="default"/>
    <w:sig w:usb0="00000000" w:usb1="00000000" w:usb2="00000000" w:usb3="00000000" w:csb0="00040000" w:csb1="00000000"/>
  </w:font>
  <w:font w:name="仿宋">
    <w:panose1 w:val="02010609060101010101"/>
    <w:charset w:val="86"/>
    <w:family w:val="swiss"/>
    <w:pitch w:val="default"/>
    <w:sig w:usb0="800002BF" w:usb1="38CF7CFA" w:usb2="00000016" w:usb3="00000000" w:csb0="00040001" w:csb1="00000000"/>
  </w:font>
  <w:font w:name="Tahoma">
    <w:panose1 w:val="020B0604030504040204"/>
    <w:charset w:val="00"/>
    <w:family w:val="decorative"/>
    <w:pitch w:val="default"/>
    <w:sig w:usb0="E1002EFF" w:usb1="C000605B" w:usb2="00000029" w:usb3="00000000" w:csb0="200101FF" w:csb1="20280000"/>
  </w:font>
  <w:font w:name="Arial">
    <w:panose1 w:val="020B0604020202020204"/>
    <w:charset w:val="00"/>
    <w:family w:val="modern"/>
    <w:pitch w:val="default"/>
    <w:sig w:usb0="E0002EFF" w:usb1="C000785B" w:usb2="00000009" w:usb3="00000000" w:csb0="400001FF" w:csb1="FFFF0000"/>
  </w:font>
  <w:font w:name="黑体">
    <w:panose1 w:val="02010609060101010101"/>
    <w:charset w:val="86"/>
    <w:family w:val="roman"/>
    <w:pitch w:val="default"/>
    <w:sig w:usb0="800002BF" w:usb1="38CF7CFA" w:usb2="00000016" w:usb3="00000000" w:csb0="00040001" w:csb1="00000000"/>
  </w:font>
  <w:font w:name="Courier New">
    <w:panose1 w:val="02070309020205020404"/>
    <w:charset w:val="00"/>
    <w:family w:val="roman"/>
    <w:pitch w:val="default"/>
    <w:sig w:usb0="E0002EFF" w:usb1="C0007843" w:usb2="00000009" w:usb3="00000000" w:csb0="400001FF" w:csb1="FFFF0000"/>
  </w:font>
  <w:font w:name="华文仿宋">
    <w:altName w:val="仿宋"/>
    <w:panose1 w:val="02010600040101010101"/>
    <w:charset w:val="86"/>
    <w:family w:val="auto"/>
    <w:pitch w:val="default"/>
    <w:sig w:usb0="00000000" w:usb1="00000000" w:usb2="00000010" w:usb3="00000000" w:csb0="0004009F" w:csb1="00000000"/>
  </w:font>
  <w:font w:name="宋体.乧...">
    <w:altName w:val="宋体"/>
    <w:panose1 w:val="00000000000000000000"/>
    <w:charset w:val="86"/>
    <w:family w:val="auto"/>
    <w:pitch w:val="default"/>
    <w:sig w:usb0="00000000" w:usb1="00000000" w:usb2="00000010" w:usb3="00000000" w:csb0="00040000" w:csb1="00000000"/>
  </w:font>
  <w:font w:name="DeepSeek-CJK-patch">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decorative"/>
    <w:pitch w:val="default"/>
    <w:sig w:usb0="E0002EFF" w:usb1="C000785B" w:usb2="00000009" w:usb3="00000000" w:csb0="400001FF" w:csb1="FFFF0000"/>
  </w:font>
  <w:font w:name="黑体">
    <w:panose1 w:val="02010609060101010101"/>
    <w:charset w:val="86"/>
    <w:family w:val="swiss"/>
    <w:pitch w:val="default"/>
    <w:sig w:usb0="800002BF" w:usb1="38CF7CFA" w:usb2="00000016" w:usb3="00000000" w:csb0="00040001" w:csb1="00000000"/>
  </w:font>
  <w:font w:name="Courier New">
    <w:panose1 w:val="02070309020205020404"/>
    <w:charset w:val="00"/>
    <w:family w:val="swiss"/>
    <w:pitch w:val="default"/>
    <w:sig w:usb0="E0002EFF" w:usb1="C0007843" w:usb2="00000009" w:usb3="00000000" w:csb0="400001FF" w:csb1="FFFF0000"/>
  </w:font>
  <w:font w:name="Arial">
    <w:panose1 w:val="020B0604020202020204"/>
    <w:charset w:val="00"/>
    <w:family w:val="roman"/>
    <w:pitch w:val="default"/>
    <w:sig w:usb0="E0002EFF" w:usb1="C000785B" w:usb2="00000009" w:usb3="00000000" w:csb0="400001FF" w:csb1="FFFF0000"/>
  </w:font>
  <w:font w:name="黑体">
    <w:panose1 w:val="02010609060101010101"/>
    <w:charset w:val="86"/>
    <w:family w:val="decorative"/>
    <w:pitch w:val="default"/>
    <w:sig w:usb0="800002BF" w:usb1="38CF7CFA" w:usb2="00000016" w:usb3="00000000" w:csb0="00040001" w:csb1="00000000"/>
  </w:font>
  <w:font w:name="Courier New">
    <w:panose1 w:val="02070309020205020404"/>
    <w:charset w:val="00"/>
    <w:family w:val="decorative"/>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rPr>
                              <w:rStyle w:val="30"/>
                            </w:rPr>
                          </w:pPr>
                          <w:r>
                            <w:rPr>
                              <w:rStyle w:val="30"/>
                            </w:rPr>
                            <w:fldChar w:fldCharType="begin"/>
                          </w:r>
                          <w:r>
                            <w:rPr>
                              <w:rStyle w:val="30"/>
                            </w:rPr>
                            <w:instrText xml:space="preserve">PAGE  </w:instrText>
                          </w:r>
                          <w:r>
                            <w:rPr>
                              <w:rStyle w:val="30"/>
                            </w:rPr>
                            <w:fldChar w:fldCharType="separate"/>
                          </w:r>
                          <w:r>
                            <w:rPr>
                              <w:rStyle w:val="30"/>
                            </w:rPr>
                            <w:t>1</w:t>
                          </w:r>
                          <w:r>
                            <w:rPr>
                              <w:rStyle w:val="30"/>
                            </w:rPr>
                            <w:fldChar w:fldCharType="end"/>
                          </w:r>
                        </w:p>
                        <w:p>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pStyle w:val="20"/>
                      <w:rPr>
                        <w:rStyle w:val="30"/>
                      </w:rPr>
                    </w:pPr>
                    <w:r>
                      <w:rPr>
                        <w:rStyle w:val="30"/>
                      </w:rPr>
                      <w:fldChar w:fldCharType="begin"/>
                    </w:r>
                    <w:r>
                      <w:rPr>
                        <w:rStyle w:val="30"/>
                      </w:rPr>
                      <w:instrText xml:space="preserve">PAGE  </w:instrText>
                    </w:r>
                    <w:r>
                      <w:rPr>
                        <w:rStyle w:val="30"/>
                      </w:rPr>
                      <w:fldChar w:fldCharType="separate"/>
                    </w:r>
                    <w:r>
                      <w:rPr>
                        <w:rStyle w:val="30"/>
                      </w:rPr>
                      <w:t>1</w:t>
                    </w:r>
                    <w:r>
                      <w:rPr>
                        <w:rStyle w:val="30"/>
                      </w:rPr>
                      <w:fldChar w:fldCharType="end"/>
                    </w:r>
                  </w:p>
                  <w:p>
                    <w:pPr/>
                  </w:p>
                </w:txbxContent>
              </v:textbox>
            </v:shape>
          </w:pict>
        </mc:Fallback>
      </mc:AlternateContent>
    </w:r>
  </w:p>
  <w: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pPr>
    <w:r>
      <w:fldChar w:fldCharType="begin"/>
    </w:r>
    <w:r>
      <w:instrText xml:space="preserve">PAGE   \* MERGEFORMAT</w:instrText>
    </w:r>
    <w:r>
      <w:fldChar w:fldCharType="separate"/>
    </w:r>
    <w:r>
      <w:t>43</w:t>
    </w:r>
    <w:r>
      <w:rPr>
        <w:lang w:val="zh-CN"/>
      </w:rPr>
      <w:fldChar w:fldCharType="end"/>
    </w:r>
  </w:p>
  <w:p>
    <w:pPr>
      <w:pStyle w:val="2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right="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rPr>
                              <w:rStyle w:val="30"/>
                            </w:rPr>
                          </w:pPr>
                          <w:r>
                            <w:rPr>
                              <w:rStyle w:val="30"/>
                            </w:rPr>
                            <w:fldChar w:fldCharType="begin"/>
                          </w:r>
                          <w:r>
                            <w:rPr>
                              <w:rStyle w:val="30"/>
                            </w:rPr>
                            <w:instrText xml:space="preserve">PAGE  </w:instrText>
                          </w:r>
                          <w:r>
                            <w:rPr>
                              <w:rStyle w:val="30"/>
                            </w:rPr>
                            <w:fldChar w:fldCharType="separate"/>
                          </w:r>
                          <w:r>
                            <w:rPr>
                              <w:rStyle w:val="30"/>
                            </w:rPr>
                            <w:t>48</w:t>
                          </w:r>
                          <w:r>
                            <w:rPr>
                              <w:rStyle w:val="30"/>
                            </w:rPr>
                            <w:fldChar w:fldCharType="end"/>
                          </w:r>
                        </w:p>
                        <w:p>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MuXNVEPAgAABwQAAA4AAAAAAAAAAQAgAAAA&#10;HwEAAGRycy9lMm9Eb2MueG1sUEsFBgAAAAAGAAYAWQEAAKAFAAAAAA==&#10;">
              <v:fill on="f" focussize="0,0"/>
              <v:stroke on="f" weight="0.5pt"/>
              <v:imagedata o:title=""/>
              <o:lock v:ext="edit" aspectratio="f"/>
              <v:textbox inset="0mm,0mm,0mm,0mm" style="mso-fit-shape-to-text:t;">
                <w:txbxContent>
                  <w:p>
                    <w:pPr>
                      <w:pStyle w:val="20"/>
                      <w:rPr>
                        <w:rStyle w:val="30"/>
                      </w:rPr>
                    </w:pPr>
                    <w:r>
                      <w:rPr>
                        <w:rStyle w:val="30"/>
                      </w:rPr>
                      <w:fldChar w:fldCharType="begin"/>
                    </w:r>
                    <w:r>
                      <w:rPr>
                        <w:rStyle w:val="30"/>
                      </w:rPr>
                      <w:instrText xml:space="preserve">PAGE  </w:instrText>
                    </w:r>
                    <w:r>
                      <w:rPr>
                        <w:rStyle w:val="30"/>
                      </w:rPr>
                      <w:fldChar w:fldCharType="separate"/>
                    </w:r>
                    <w:r>
                      <w:rPr>
                        <w:rStyle w:val="30"/>
                      </w:rPr>
                      <w:t>48</w:t>
                    </w:r>
                    <w:r>
                      <w:rPr>
                        <w:rStyle w:val="30"/>
                      </w:rPr>
                      <w:fldChar w:fldCharType="end"/>
                    </w:r>
                  </w:p>
                  <w:p>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framePr w:wrap="around" w:vAnchor="text" w:hAnchor="margin" w:xAlign="right" w:y="1"/>
      <w:rPr>
        <w:rStyle w:val="30"/>
      </w:rPr>
    </w:pPr>
    <w:r>
      <w:rPr>
        <w:rStyle w:val="30"/>
      </w:rPr>
      <w:fldChar w:fldCharType="begin"/>
    </w:r>
    <w:r>
      <w:rPr>
        <w:rStyle w:val="30"/>
      </w:rPr>
      <w:instrText xml:space="preserve">PAGE  </w:instrText>
    </w:r>
    <w:r>
      <w:rPr>
        <w:rStyle w:val="30"/>
      </w:rPr>
      <w:fldChar w:fldCharType="separate"/>
    </w:r>
    <w:r>
      <w:rPr>
        <w:rStyle w:val="30"/>
      </w:rPr>
      <w:t>35</w:t>
    </w:r>
    <w:r>
      <w:rPr>
        <w:rStyle w:val="30"/>
      </w:rPr>
      <w:fldChar w:fldCharType="end"/>
    </w:r>
  </w:p>
  <w:p>
    <w:pPr>
      <w:pStyle w:val="2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0"/>
      </w:pBdr>
      <w:jc w:val="left"/>
      <w:rPr>
        <w:u w:val="single"/>
      </w:rPr>
    </w:pPr>
    <w:r>
      <w:rPr>
        <w:rFonts w:hint="eastAsia" w:ascii="Times New Roman" w:hAnsi="Times New Roman"/>
        <w:kern w:val="2"/>
        <w:u w:val="single"/>
        <w:lang w:val="en-US" w:eastAsia="zh-CN"/>
      </w:rPr>
      <w:t>舟山市第二人民医院光伏发电建设</w:t>
    </w:r>
    <w:r>
      <w:rPr>
        <w:rFonts w:hint="eastAsia" w:ascii="Times New Roman" w:hAnsi="Times New Roman"/>
        <w:kern w:val="2"/>
        <w:u w:val="single"/>
        <w:lang w:eastAsia="zh-CN"/>
      </w:rPr>
      <w:t>项目</w:t>
    </w:r>
    <w:r>
      <w:rPr>
        <w:rFonts w:hint="eastAsia" w:ascii="Times New Roman" w:hAnsi="Times New Roman"/>
        <w:kern w:val="2"/>
        <w:u w:val="single"/>
      </w:rPr>
      <w:t xml:space="preserve">                   </w:t>
    </w:r>
    <w:r>
      <w:rPr>
        <w:rFonts w:hint="eastAsia" w:ascii="Times New Roman" w:hAnsi="Times New Roman"/>
        <w:kern w:val="2"/>
        <w:u w:val="single"/>
        <w:lang w:val="en-US" w:eastAsia="zh-CN"/>
      </w:rPr>
      <w:t xml:space="preserve">                    </w:t>
    </w:r>
    <w:r>
      <w:rPr>
        <w:rFonts w:hint="eastAsia" w:ascii="Times New Roman" w:hAnsi="Times New Roman"/>
        <w:kern w:val="2"/>
        <w:u w:val="single"/>
      </w:rPr>
      <w:t xml:space="preserve">           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3143946153">
    <w:nsid w:val="BB64CFA9"/>
    <w:multiLevelType w:val="singleLevel"/>
    <w:tmpl w:val="BB64CFA9"/>
    <w:lvl w:ilvl="0" w:tentative="1">
      <w:start w:val="2"/>
      <w:numFmt w:val="lowerLetter"/>
      <w:lvlText w:val="%1."/>
      <w:lvlJc w:val="left"/>
      <w:rPr>
        <w:rFonts w:hint="default"/>
      </w:rPr>
    </w:lvl>
  </w:abstractNum>
  <w:abstractNum w:abstractNumId="2442747215">
    <w:nsid w:val="91995D4F"/>
    <w:multiLevelType w:val="singleLevel"/>
    <w:tmpl w:val="91995D4F"/>
    <w:lvl w:ilvl="0" w:tentative="1">
      <w:start w:val="3"/>
      <w:numFmt w:val="lowerLetter"/>
      <w:lvlText w:val="%1."/>
      <w:lvlJc w:val="left"/>
      <w:rPr>
        <w:rFonts w:hint="default"/>
      </w:rPr>
    </w:lvl>
  </w:abstractNum>
  <w:abstractNum w:abstractNumId="1744794796">
    <w:nsid w:val="67FF74AC"/>
    <w:multiLevelType w:val="multilevel"/>
    <w:tmpl w:val="67FF74AC"/>
    <w:lvl w:ilvl="0" w:tentative="1">
      <w:start w:val="1"/>
      <w:numFmt w:val="decimalEnclosedCircle"/>
      <w:pStyle w:val="56"/>
      <w:lvlText w:val="%1"/>
      <w:lvlJc w:val="left"/>
      <w:pPr>
        <w:tabs>
          <w:tab w:val="left" w:pos="840"/>
        </w:tabs>
        <w:ind w:left="840" w:hanging="360"/>
      </w:pPr>
      <w:rPr>
        <w:rFonts w:hint="default" w:ascii="宋体" w:hAnsi="宋体" w:eastAsia="Times New Roman" w:cs="Times New Roman"/>
      </w:rPr>
    </w:lvl>
    <w:lvl w:ilvl="1" w:tentative="1">
      <w:start w:val="1"/>
      <w:numFmt w:val="lowerLetter"/>
      <w:lvlText w:val="%2)"/>
      <w:lvlJc w:val="left"/>
      <w:pPr>
        <w:tabs>
          <w:tab w:val="left" w:pos="1320"/>
        </w:tabs>
        <w:ind w:left="1320" w:hanging="420"/>
      </w:pPr>
      <w:rPr>
        <w:rFonts w:cs="Times New Roman"/>
      </w:rPr>
    </w:lvl>
    <w:lvl w:ilvl="2" w:tentative="1">
      <w:start w:val="1"/>
      <w:numFmt w:val="lowerRoman"/>
      <w:lvlText w:val="%3."/>
      <w:lvlJc w:val="right"/>
      <w:pPr>
        <w:tabs>
          <w:tab w:val="left" w:pos="1740"/>
        </w:tabs>
        <w:ind w:left="1740" w:hanging="420"/>
      </w:pPr>
      <w:rPr>
        <w:rFonts w:cs="Times New Roman"/>
      </w:rPr>
    </w:lvl>
    <w:lvl w:ilvl="3" w:tentative="1">
      <w:start w:val="1"/>
      <w:numFmt w:val="decimal"/>
      <w:lvlText w:val="%4."/>
      <w:lvlJc w:val="left"/>
      <w:pPr>
        <w:tabs>
          <w:tab w:val="left" w:pos="2160"/>
        </w:tabs>
        <w:ind w:left="2160" w:hanging="420"/>
      </w:pPr>
      <w:rPr>
        <w:rFonts w:cs="Times New Roman"/>
      </w:rPr>
    </w:lvl>
    <w:lvl w:ilvl="4" w:tentative="1">
      <w:start w:val="1"/>
      <w:numFmt w:val="lowerLetter"/>
      <w:lvlText w:val="%5)"/>
      <w:lvlJc w:val="left"/>
      <w:pPr>
        <w:tabs>
          <w:tab w:val="left" w:pos="2580"/>
        </w:tabs>
        <w:ind w:left="2580" w:hanging="420"/>
      </w:pPr>
      <w:rPr>
        <w:rFonts w:cs="Times New Roman"/>
      </w:rPr>
    </w:lvl>
    <w:lvl w:ilvl="5" w:tentative="1">
      <w:start w:val="1"/>
      <w:numFmt w:val="lowerRoman"/>
      <w:lvlText w:val="%6."/>
      <w:lvlJc w:val="right"/>
      <w:pPr>
        <w:tabs>
          <w:tab w:val="left" w:pos="3000"/>
        </w:tabs>
        <w:ind w:left="3000" w:hanging="420"/>
      </w:pPr>
      <w:rPr>
        <w:rFonts w:cs="Times New Roman"/>
      </w:rPr>
    </w:lvl>
    <w:lvl w:ilvl="6" w:tentative="1">
      <w:start w:val="1"/>
      <w:numFmt w:val="decimal"/>
      <w:lvlText w:val="%7."/>
      <w:lvlJc w:val="left"/>
      <w:pPr>
        <w:tabs>
          <w:tab w:val="left" w:pos="3420"/>
        </w:tabs>
        <w:ind w:left="3420" w:hanging="420"/>
      </w:pPr>
      <w:rPr>
        <w:rFonts w:cs="Times New Roman"/>
      </w:rPr>
    </w:lvl>
    <w:lvl w:ilvl="7" w:tentative="1">
      <w:start w:val="1"/>
      <w:numFmt w:val="lowerLetter"/>
      <w:lvlText w:val="%8)"/>
      <w:lvlJc w:val="left"/>
      <w:pPr>
        <w:tabs>
          <w:tab w:val="left" w:pos="3840"/>
        </w:tabs>
        <w:ind w:left="3840" w:hanging="420"/>
      </w:pPr>
      <w:rPr>
        <w:rFonts w:cs="Times New Roman"/>
      </w:rPr>
    </w:lvl>
    <w:lvl w:ilvl="8" w:tentative="1">
      <w:start w:val="1"/>
      <w:numFmt w:val="lowerRoman"/>
      <w:lvlText w:val="%9."/>
      <w:lvlJc w:val="right"/>
      <w:pPr>
        <w:tabs>
          <w:tab w:val="left" w:pos="4260"/>
        </w:tabs>
        <w:ind w:left="4260" w:hanging="420"/>
      </w:pPr>
      <w:rPr>
        <w:rFonts w:cs="Times New Roman"/>
      </w:rPr>
    </w:lvl>
  </w:abstractNum>
  <w:abstractNum w:abstractNumId="1744794807">
    <w:nsid w:val="67FF74B7"/>
    <w:multiLevelType w:val="multilevel"/>
    <w:tmpl w:val="67FF74B7"/>
    <w:lvl w:ilvl="0" w:tentative="1">
      <w:start w:val="1"/>
      <w:numFmt w:val="decimal"/>
      <w:pStyle w:val="61"/>
      <w:suff w:val="nothing"/>
      <w:lvlText w:val="（%1）"/>
      <w:lvlJc w:val="left"/>
      <w:pPr>
        <w:ind w:left="0" w:firstLine="400"/>
      </w:pPr>
      <w:rPr>
        <w:rFonts w:hint="eastAsia"/>
      </w:rPr>
    </w:lvl>
    <w:lvl w:ilvl="1" w:tentative="1">
      <w:start w:val="1"/>
      <w:numFmt w:val="lowerLetter"/>
      <w:lvlText w:val="%2)"/>
      <w:lvlJc w:val="left"/>
      <w:pPr>
        <w:ind w:left="0" w:firstLine="400"/>
      </w:pPr>
      <w:rPr>
        <w:rFonts w:hint="eastAsia"/>
      </w:rPr>
    </w:lvl>
    <w:lvl w:ilvl="2" w:tentative="1">
      <w:start w:val="1"/>
      <w:numFmt w:val="lowerRoman"/>
      <w:lvlText w:val="%3."/>
      <w:lvlJc w:val="right"/>
      <w:pPr>
        <w:ind w:left="0" w:firstLine="400"/>
      </w:pPr>
      <w:rPr>
        <w:rFonts w:hint="eastAsia"/>
      </w:rPr>
    </w:lvl>
    <w:lvl w:ilvl="3" w:tentative="1">
      <w:start w:val="1"/>
      <w:numFmt w:val="decimal"/>
      <w:lvlText w:val="%4."/>
      <w:lvlJc w:val="left"/>
      <w:pPr>
        <w:ind w:left="0" w:firstLine="400"/>
      </w:pPr>
      <w:rPr>
        <w:rFonts w:hint="eastAsia"/>
      </w:rPr>
    </w:lvl>
    <w:lvl w:ilvl="4" w:tentative="1">
      <w:start w:val="1"/>
      <w:numFmt w:val="lowerLetter"/>
      <w:lvlText w:val="%5)"/>
      <w:lvlJc w:val="left"/>
      <w:pPr>
        <w:ind w:left="0" w:firstLine="400"/>
      </w:pPr>
      <w:rPr>
        <w:rFonts w:hint="eastAsia"/>
      </w:rPr>
    </w:lvl>
    <w:lvl w:ilvl="5" w:tentative="1">
      <w:start w:val="1"/>
      <w:numFmt w:val="lowerRoman"/>
      <w:lvlText w:val="%6."/>
      <w:lvlJc w:val="right"/>
      <w:pPr>
        <w:ind w:left="0" w:firstLine="400"/>
      </w:pPr>
      <w:rPr>
        <w:rFonts w:hint="eastAsia"/>
      </w:rPr>
    </w:lvl>
    <w:lvl w:ilvl="6" w:tentative="1">
      <w:start w:val="1"/>
      <w:numFmt w:val="decimal"/>
      <w:lvlText w:val="%7."/>
      <w:lvlJc w:val="left"/>
      <w:pPr>
        <w:ind w:left="0" w:firstLine="400"/>
      </w:pPr>
      <w:rPr>
        <w:rFonts w:hint="eastAsia"/>
      </w:rPr>
    </w:lvl>
    <w:lvl w:ilvl="7" w:tentative="1">
      <w:start w:val="1"/>
      <w:numFmt w:val="lowerLetter"/>
      <w:lvlText w:val="%8)"/>
      <w:lvlJc w:val="left"/>
      <w:pPr>
        <w:ind w:left="0" w:firstLine="400"/>
      </w:pPr>
      <w:rPr>
        <w:rFonts w:hint="eastAsia"/>
      </w:rPr>
    </w:lvl>
    <w:lvl w:ilvl="8" w:tentative="1">
      <w:start w:val="1"/>
      <w:numFmt w:val="lowerRoman"/>
      <w:lvlText w:val="%9."/>
      <w:lvlJc w:val="right"/>
      <w:pPr>
        <w:ind w:left="0" w:firstLine="400"/>
      </w:pPr>
      <w:rPr>
        <w:rFonts w:hint="eastAsia"/>
      </w:rPr>
    </w:lvl>
  </w:abstractNum>
  <w:abstractNum w:abstractNumId="1492746957">
    <w:nsid w:val="58F982CD"/>
    <w:multiLevelType w:val="singleLevel"/>
    <w:tmpl w:val="58F982CD"/>
    <w:lvl w:ilvl="0" w:tentative="1">
      <w:start w:val="1"/>
      <w:numFmt w:val="decimal"/>
      <w:pStyle w:val="10"/>
      <w:lvlText w:val="%1."/>
      <w:lvlJc w:val="left"/>
      <w:pPr>
        <w:tabs>
          <w:tab w:val="left" w:pos="360"/>
        </w:tabs>
        <w:ind w:left="360" w:hanging="360"/>
      </w:pPr>
      <w:rPr>
        <w:rFonts w:cs="Times New Roman"/>
      </w:rPr>
    </w:lvl>
  </w:abstractNum>
  <w:abstractNum w:abstractNumId="605794349">
    <w:nsid w:val="241BB02D"/>
    <w:multiLevelType w:val="singleLevel"/>
    <w:tmpl w:val="241BB02D"/>
    <w:lvl w:ilvl="0" w:tentative="1">
      <w:start w:val="6"/>
      <w:numFmt w:val="chineseCounting"/>
      <w:suff w:val="nothing"/>
      <w:lvlText w:val="%1、"/>
      <w:lvlJc w:val="left"/>
      <w:rPr>
        <w:rFonts w:hint="eastAsia"/>
        <w:b/>
        <w:bCs/>
      </w:rPr>
    </w:lvl>
  </w:abstractNum>
  <w:abstractNum w:abstractNumId="1748591584">
    <w:nsid w:val="683963E0"/>
    <w:multiLevelType w:val="multilevel"/>
    <w:tmpl w:val="683963E0"/>
    <w:lvl w:ilvl="0" w:tentative="1">
      <w:start w:val="1"/>
      <w:numFmt w:val="japaneseCounting"/>
      <w:lvlText w:val="第%1章"/>
      <w:lvlJc w:val="left"/>
      <w:pPr>
        <w:tabs>
          <w:tab w:val="left" w:pos="1440"/>
        </w:tabs>
        <w:ind w:left="1440" w:hanging="1275"/>
      </w:pPr>
      <w:rPr>
        <w:rFonts w:cs="Times New Roman"/>
      </w:rPr>
    </w:lvl>
    <w:lvl w:ilvl="1" w:tentative="1">
      <w:start w:val="1"/>
      <w:numFmt w:val="japaneseCounting"/>
      <w:lvlText w:val="%2、"/>
      <w:lvlJc w:val="left"/>
      <w:pPr>
        <w:tabs>
          <w:tab w:val="left" w:pos="1305"/>
        </w:tabs>
        <w:ind w:left="1305" w:hanging="720"/>
      </w:pPr>
      <w:rPr>
        <w:rFonts w:cs="Times New Roman"/>
      </w:rPr>
    </w:lvl>
    <w:lvl w:ilvl="2" w:tentative="1">
      <w:start w:val="1"/>
      <w:numFmt w:val="lowerRoman"/>
      <w:lvlText w:val="%3."/>
      <w:lvlJc w:val="right"/>
      <w:pPr>
        <w:tabs>
          <w:tab w:val="left" w:pos="1425"/>
        </w:tabs>
        <w:ind w:left="1425" w:hanging="420"/>
      </w:pPr>
      <w:rPr>
        <w:rFonts w:cs="Times New Roman"/>
      </w:rPr>
    </w:lvl>
    <w:lvl w:ilvl="3" w:tentative="1">
      <w:start w:val="1"/>
      <w:numFmt w:val="decimal"/>
      <w:lvlText w:val="%4."/>
      <w:lvlJc w:val="left"/>
      <w:pPr>
        <w:tabs>
          <w:tab w:val="left" w:pos="1845"/>
        </w:tabs>
        <w:ind w:left="1845" w:hanging="420"/>
      </w:pPr>
      <w:rPr>
        <w:rFonts w:cs="Times New Roman"/>
      </w:rPr>
    </w:lvl>
    <w:lvl w:ilvl="4" w:tentative="1">
      <w:start w:val="1"/>
      <w:numFmt w:val="lowerLetter"/>
      <w:lvlText w:val="%5)"/>
      <w:lvlJc w:val="left"/>
      <w:pPr>
        <w:tabs>
          <w:tab w:val="left" w:pos="2265"/>
        </w:tabs>
        <w:ind w:left="2265" w:hanging="420"/>
      </w:pPr>
      <w:rPr>
        <w:rFonts w:cs="Times New Roman"/>
      </w:rPr>
    </w:lvl>
    <w:lvl w:ilvl="5" w:tentative="1">
      <w:start w:val="1"/>
      <w:numFmt w:val="lowerRoman"/>
      <w:lvlText w:val="%6."/>
      <w:lvlJc w:val="right"/>
      <w:pPr>
        <w:tabs>
          <w:tab w:val="left" w:pos="2685"/>
        </w:tabs>
        <w:ind w:left="2685" w:hanging="420"/>
      </w:pPr>
      <w:rPr>
        <w:rFonts w:cs="Times New Roman"/>
      </w:rPr>
    </w:lvl>
    <w:lvl w:ilvl="6" w:tentative="1">
      <w:start w:val="1"/>
      <w:numFmt w:val="decimal"/>
      <w:lvlText w:val="%7."/>
      <w:lvlJc w:val="left"/>
      <w:pPr>
        <w:tabs>
          <w:tab w:val="left" w:pos="3105"/>
        </w:tabs>
        <w:ind w:left="3105" w:hanging="420"/>
      </w:pPr>
      <w:rPr>
        <w:rFonts w:cs="Times New Roman"/>
      </w:rPr>
    </w:lvl>
    <w:lvl w:ilvl="7" w:tentative="1">
      <w:start w:val="1"/>
      <w:numFmt w:val="lowerLetter"/>
      <w:lvlText w:val="%8)"/>
      <w:lvlJc w:val="left"/>
      <w:pPr>
        <w:tabs>
          <w:tab w:val="left" w:pos="3525"/>
        </w:tabs>
        <w:ind w:left="3525" w:hanging="420"/>
      </w:pPr>
      <w:rPr>
        <w:rFonts w:cs="Times New Roman"/>
      </w:rPr>
    </w:lvl>
    <w:lvl w:ilvl="8" w:tentative="1">
      <w:start w:val="1"/>
      <w:numFmt w:val="lowerRoman"/>
      <w:lvlText w:val="%9."/>
      <w:lvlJc w:val="right"/>
      <w:pPr>
        <w:tabs>
          <w:tab w:val="left" w:pos="3945"/>
        </w:tabs>
        <w:ind w:left="3945" w:hanging="420"/>
      </w:pPr>
      <w:rPr>
        <w:rFonts w:cs="Times New Roman"/>
      </w:rPr>
    </w:lvl>
  </w:abstractNum>
  <w:abstractNum w:abstractNumId="2782615990">
    <w:nsid w:val="A5DB59B6"/>
    <w:multiLevelType w:val="singleLevel"/>
    <w:tmpl w:val="A5DB59B6"/>
    <w:lvl w:ilvl="0" w:tentative="1">
      <w:start w:val="2"/>
      <w:numFmt w:val="chineseCounting"/>
      <w:suff w:val="space"/>
      <w:lvlText w:val="第%1章"/>
      <w:lvlJc w:val="left"/>
      <w:rPr>
        <w:rFonts w:hint="eastAsia"/>
      </w:rPr>
    </w:lvl>
  </w:abstractNum>
  <w:abstractNum w:abstractNumId="2783566925">
    <w:nsid w:val="A5E9DC4D"/>
    <w:multiLevelType w:val="singleLevel"/>
    <w:tmpl w:val="A5E9DC4D"/>
    <w:lvl w:ilvl="0" w:tentative="1">
      <w:start w:val="1"/>
      <w:numFmt w:val="decimal"/>
      <w:suff w:val="nothing"/>
      <w:lvlText w:val="%1、"/>
      <w:lvlJc w:val="left"/>
    </w:lvl>
  </w:abstractNum>
  <w:num w:numId="1">
    <w:abstractNumId w:val="1492746957"/>
  </w:num>
  <w:num w:numId="2">
    <w:abstractNumId w:val="1744794796"/>
  </w:num>
  <w:num w:numId="3">
    <w:abstractNumId w:val="1744794807"/>
  </w:num>
  <w:num w:numId="4">
    <w:abstractNumId w:val="3143946153"/>
  </w:num>
  <w:num w:numId="5">
    <w:abstractNumId w:val="2442747215"/>
  </w:num>
  <w:num w:numId="6">
    <w:abstractNumId w:val="1748591584"/>
    <w:lvlOverride w:ilvl="0">
      <w:startOverride w:val="1"/>
    </w:lvlOverride>
  </w:num>
  <w:num w:numId="7">
    <w:abstractNumId w:val="605794349"/>
  </w:num>
  <w:num w:numId="8">
    <w:abstractNumId w:val="2782615990"/>
  </w:num>
  <w:num w:numId="9">
    <w:abstractNumId w:val="27835669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hlODEzY2Q4YTlkYzc3MzZhNDc2ZGU3OGEyNTc1NzEifQ=="/>
  </w:docVars>
  <w:rsids>
    <w:rsidRoot w:val="00273693"/>
    <w:rsid w:val="00000AAF"/>
    <w:rsid w:val="000010E2"/>
    <w:rsid w:val="00001654"/>
    <w:rsid w:val="00003455"/>
    <w:rsid w:val="00005526"/>
    <w:rsid w:val="00005F0D"/>
    <w:rsid w:val="000062E6"/>
    <w:rsid w:val="00007B5D"/>
    <w:rsid w:val="00012D4A"/>
    <w:rsid w:val="00013233"/>
    <w:rsid w:val="0001427D"/>
    <w:rsid w:val="00014710"/>
    <w:rsid w:val="00014BAF"/>
    <w:rsid w:val="000162EE"/>
    <w:rsid w:val="000217B6"/>
    <w:rsid w:val="0002329C"/>
    <w:rsid w:val="0002384D"/>
    <w:rsid w:val="00024B81"/>
    <w:rsid w:val="000252D0"/>
    <w:rsid w:val="000253ED"/>
    <w:rsid w:val="00025F36"/>
    <w:rsid w:val="00026621"/>
    <w:rsid w:val="000305FE"/>
    <w:rsid w:val="00033806"/>
    <w:rsid w:val="00033AAA"/>
    <w:rsid w:val="0003505B"/>
    <w:rsid w:val="000409D7"/>
    <w:rsid w:val="00043C68"/>
    <w:rsid w:val="0004535E"/>
    <w:rsid w:val="000515D6"/>
    <w:rsid w:val="00052438"/>
    <w:rsid w:val="0005643A"/>
    <w:rsid w:val="00056464"/>
    <w:rsid w:val="00064613"/>
    <w:rsid w:val="00064CE2"/>
    <w:rsid w:val="00065EEB"/>
    <w:rsid w:val="000744F7"/>
    <w:rsid w:val="00080402"/>
    <w:rsid w:val="0008197C"/>
    <w:rsid w:val="00082DA5"/>
    <w:rsid w:val="0008438D"/>
    <w:rsid w:val="0008452F"/>
    <w:rsid w:val="00084DFB"/>
    <w:rsid w:val="0008703B"/>
    <w:rsid w:val="00092156"/>
    <w:rsid w:val="00095536"/>
    <w:rsid w:val="000A14C9"/>
    <w:rsid w:val="000A2208"/>
    <w:rsid w:val="000A27ED"/>
    <w:rsid w:val="000A2949"/>
    <w:rsid w:val="000A66AC"/>
    <w:rsid w:val="000B0773"/>
    <w:rsid w:val="000B3933"/>
    <w:rsid w:val="000B40A1"/>
    <w:rsid w:val="000B6502"/>
    <w:rsid w:val="000B7085"/>
    <w:rsid w:val="000C04E6"/>
    <w:rsid w:val="000C1E57"/>
    <w:rsid w:val="000C4BC2"/>
    <w:rsid w:val="000D18EC"/>
    <w:rsid w:val="000D2B03"/>
    <w:rsid w:val="000D2C97"/>
    <w:rsid w:val="000D4879"/>
    <w:rsid w:val="000D5869"/>
    <w:rsid w:val="000D7628"/>
    <w:rsid w:val="000E19BF"/>
    <w:rsid w:val="000E3287"/>
    <w:rsid w:val="000E4F18"/>
    <w:rsid w:val="000E69E9"/>
    <w:rsid w:val="000F2134"/>
    <w:rsid w:val="000F2432"/>
    <w:rsid w:val="000F39F2"/>
    <w:rsid w:val="000F3DE3"/>
    <w:rsid w:val="000F428B"/>
    <w:rsid w:val="000F4BF2"/>
    <w:rsid w:val="000F4D7F"/>
    <w:rsid w:val="000F53D8"/>
    <w:rsid w:val="000F7CA9"/>
    <w:rsid w:val="0010195F"/>
    <w:rsid w:val="00102156"/>
    <w:rsid w:val="001067E0"/>
    <w:rsid w:val="0011102D"/>
    <w:rsid w:val="00114FBA"/>
    <w:rsid w:val="001151B1"/>
    <w:rsid w:val="00116931"/>
    <w:rsid w:val="001203F7"/>
    <w:rsid w:val="00120BAF"/>
    <w:rsid w:val="00122228"/>
    <w:rsid w:val="00122FAC"/>
    <w:rsid w:val="0012753D"/>
    <w:rsid w:val="001279EB"/>
    <w:rsid w:val="00130AFC"/>
    <w:rsid w:val="00131B77"/>
    <w:rsid w:val="00133FF1"/>
    <w:rsid w:val="00136435"/>
    <w:rsid w:val="00136577"/>
    <w:rsid w:val="001406C7"/>
    <w:rsid w:val="00142F8D"/>
    <w:rsid w:val="001435B7"/>
    <w:rsid w:val="0014458F"/>
    <w:rsid w:val="0014506A"/>
    <w:rsid w:val="001451B1"/>
    <w:rsid w:val="00145BEB"/>
    <w:rsid w:val="00147D7C"/>
    <w:rsid w:val="00151BB1"/>
    <w:rsid w:val="001522F3"/>
    <w:rsid w:val="00154DBA"/>
    <w:rsid w:val="00155941"/>
    <w:rsid w:val="00155C74"/>
    <w:rsid w:val="001578C6"/>
    <w:rsid w:val="00162D30"/>
    <w:rsid w:val="00164C03"/>
    <w:rsid w:val="0016573E"/>
    <w:rsid w:val="00165799"/>
    <w:rsid w:val="00165A8A"/>
    <w:rsid w:val="00166358"/>
    <w:rsid w:val="00170AA1"/>
    <w:rsid w:val="00170ED8"/>
    <w:rsid w:val="0017495F"/>
    <w:rsid w:val="00177F14"/>
    <w:rsid w:val="0018003B"/>
    <w:rsid w:val="001802A4"/>
    <w:rsid w:val="00181045"/>
    <w:rsid w:val="001818D9"/>
    <w:rsid w:val="00181FD4"/>
    <w:rsid w:val="00183537"/>
    <w:rsid w:val="0018683E"/>
    <w:rsid w:val="00187216"/>
    <w:rsid w:val="0019041F"/>
    <w:rsid w:val="00190791"/>
    <w:rsid w:val="001932D9"/>
    <w:rsid w:val="001939EA"/>
    <w:rsid w:val="00195D70"/>
    <w:rsid w:val="001964F3"/>
    <w:rsid w:val="001A470B"/>
    <w:rsid w:val="001A5248"/>
    <w:rsid w:val="001A5256"/>
    <w:rsid w:val="001A5EC2"/>
    <w:rsid w:val="001A5F25"/>
    <w:rsid w:val="001A5F71"/>
    <w:rsid w:val="001A78DA"/>
    <w:rsid w:val="001B0906"/>
    <w:rsid w:val="001B0F47"/>
    <w:rsid w:val="001B1CFD"/>
    <w:rsid w:val="001B33BC"/>
    <w:rsid w:val="001B43C5"/>
    <w:rsid w:val="001B7F8E"/>
    <w:rsid w:val="001C155C"/>
    <w:rsid w:val="001C36BB"/>
    <w:rsid w:val="001C4939"/>
    <w:rsid w:val="001C6E8F"/>
    <w:rsid w:val="001C782F"/>
    <w:rsid w:val="001C795A"/>
    <w:rsid w:val="001D0F85"/>
    <w:rsid w:val="001D10B1"/>
    <w:rsid w:val="001D47AB"/>
    <w:rsid w:val="001D5235"/>
    <w:rsid w:val="001D699B"/>
    <w:rsid w:val="001D7FDE"/>
    <w:rsid w:val="001E0F04"/>
    <w:rsid w:val="001E11DF"/>
    <w:rsid w:val="001E182A"/>
    <w:rsid w:val="001F25B4"/>
    <w:rsid w:val="001F4A1F"/>
    <w:rsid w:val="001F4AAD"/>
    <w:rsid w:val="001F5308"/>
    <w:rsid w:val="00201055"/>
    <w:rsid w:val="002016F7"/>
    <w:rsid w:val="002034D8"/>
    <w:rsid w:val="002039C5"/>
    <w:rsid w:val="00204122"/>
    <w:rsid w:val="002043B5"/>
    <w:rsid w:val="00205870"/>
    <w:rsid w:val="0021410D"/>
    <w:rsid w:val="00220056"/>
    <w:rsid w:val="00220F47"/>
    <w:rsid w:val="00222568"/>
    <w:rsid w:val="00225C77"/>
    <w:rsid w:val="002272D0"/>
    <w:rsid w:val="002276E9"/>
    <w:rsid w:val="00230573"/>
    <w:rsid w:val="0023124C"/>
    <w:rsid w:val="002349D4"/>
    <w:rsid w:val="00236FF3"/>
    <w:rsid w:val="0024142E"/>
    <w:rsid w:val="0024216C"/>
    <w:rsid w:val="00245611"/>
    <w:rsid w:val="00250B68"/>
    <w:rsid w:val="00250DEE"/>
    <w:rsid w:val="00251782"/>
    <w:rsid w:val="00256077"/>
    <w:rsid w:val="00256345"/>
    <w:rsid w:val="00256770"/>
    <w:rsid w:val="002635B2"/>
    <w:rsid w:val="00266902"/>
    <w:rsid w:val="00270A2B"/>
    <w:rsid w:val="00273693"/>
    <w:rsid w:val="00275566"/>
    <w:rsid w:val="00275B20"/>
    <w:rsid w:val="002765E9"/>
    <w:rsid w:val="00276701"/>
    <w:rsid w:val="0028037C"/>
    <w:rsid w:val="00281AFA"/>
    <w:rsid w:val="00282449"/>
    <w:rsid w:val="00282ABC"/>
    <w:rsid w:val="002872BE"/>
    <w:rsid w:val="00287AF8"/>
    <w:rsid w:val="00287F43"/>
    <w:rsid w:val="00290853"/>
    <w:rsid w:val="0029279D"/>
    <w:rsid w:val="00292C99"/>
    <w:rsid w:val="00293CE7"/>
    <w:rsid w:val="00294D09"/>
    <w:rsid w:val="00295404"/>
    <w:rsid w:val="0029578B"/>
    <w:rsid w:val="002A02FB"/>
    <w:rsid w:val="002A1D87"/>
    <w:rsid w:val="002A239E"/>
    <w:rsid w:val="002A31B5"/>
    <w:rsid w:val="002A459C"/>
    <w:rsid w:val="002A547A"/>
    <w:rsid w:val="002A702D"/>
    <w:rsid w:val="002B06C0"/>
    <w:rsid w:val="002B0EB7"/>
    <w:rsid w:val="002B3569"/>
    <w:rsid w:val="002B3FAE"/>
    <w:rsid w:val="002B766C"/>
    <w:rsid w:val="002C00E6"/>
    <w:rsid w:val="002C3648"/>
    <w:rsid w:val="002C4AC6"/>
    <w:rsid w:val="002D015A"/>
    <w:rsid w:val="002E3A31"/>
    <w:rsid w:val="002E435E"/>
    <w:rsid w:val="002F1103"/>
    <w:rsid w:val="002F1DEF"/>
    <w:rsid w:val="002F24C1"/>
    <w:rsid w:val="002F2CB6"/>
    <w:rsid w:val="00301110"/>
    <w:rsid w:val="00301737"/>
    <w:rsid w:val="0030223B"/>
    <w:rsid w:val="003025E3"/>
    <w:rsid w:val="00302A18"/>
    <w:rsid w:val="00302EAF"/>
    <w:rsid w:val="0030736D"/>
    <w:rsid w:val="00311FBC"/>
    <w:rsid w:val="00312A64"/>
    <w:rsid w:val="00314CDF"/>
    <w:rsid w:val="003151C8"/>
    <w:rsid w:val="0031743B"/>
    <w:rsid w:val="003209B1"/>
    <w:rsid w:val="0032217C"/>
    <w:rsid w:val="00323D39"/>
    <w:rsid w:val="00325515"/>
    <w:rsid w:val="00326CEB"/>
    <w:rsid w:val="0033162F"/>
    <w:rsid w:val="00331E07"/>
    <w:rsid w:val="00332901"/>
    <w:rsid w:val="00335D89"/>
    <w:rsid w:val="00340545"/>
    <w:rsid w:val="003415B9"/>
    <w:rsid w:val="0034436F"/>
    <w:rsid w:val="00344454"/>
    <w:rsid w:val="00346EE1"/>
    <w:rsid w:val="003518B4"/>
    <w:rsid w:val="00354105"/>
    <w:rsid w:val="003541FB"/>
    <w:rsid w:val="00354FF7"/>
    <w:rsid w:val="003607EF"/>
    <w:rsid w:val="00362E6A"/>
    <w:rsid w:val="003641A1"/>
    <w:rsid w:val="003660B5"/>
    <w:rsid w:val="003671CD"/>
    <w:rsid w:val="003672E3"/>
    <w:rsid w:val="00371A5B"/>
    <w:rsid w:val="003728CF"/>
    <w:rsid w:val="00372DB9"/>
    <w:rsid w:val="00374B98"/>
    <w:rsid w:val="00376CB6"/>
    <w:rsid w:val="0037743F"/>
    <w:rsid w:val="00377B8A"/>
    <w:rsid w:val="00377BCB"/>
    <w:rsid w:val="0038017C"/>
    <w:rsid w:val="00380969"/>
    <w:rsid w:val="00380FB1"/>
    <w:rsid w:val="00384535"/>
    <w:rsid w:val="00390424"/>
    <w:rsid w:val="00390A79"/>
    <w:rsid w:val="00392120"/>
    <w:rsid w:val="003927AE"/>
    <w:rsid w:val="00393CA4"/>
    <w:rsid w:val="00394649"/>
    <w:rsid w:val="00395A0D"/>
    <w:rsid w:val="003962D6"/>
    <w:rsid w:val="003A0428"/>
    <w:rsid w:val="003A1739"/>
    <w:rsid w:val="003A1FAD"/>
    <w:rsid w:val="003A2064"/>
    <w:rsid w:val="003A27CF"/>
    <w:rsid w:val="003B15D9"/>
    <w:rsid w:val="003B1762"/>
    <w:rsid w:val="003B192A"/>
    <w:rsid w:val="003B28CC"/>
    <w:rsid w:val="003B4202"/>
    <w:rsid w:val="003B58B9"/>
    <w:rsid w:val="003B690E"/>
    <w:rsid w:val="003C1DC7"/>
    <w:rsid w:val="003C2BF1"/>
    <w:rsid w:val="003C3981"/>
    <w:rsid w:val="003C4AC2"/>
    <w:rsid w:val="003D16D4"/>
    <w:rsid w:val="003D1BBF"/>
    <w:rsid w:val="003D326B"/>
    <w:rsid w:val="003D3346"/>
    <w:rsid w:val="003D4061"/>
    <w:rsid w:val="003D59E3"/>
    <w:rsid w:val="003D6079"/>
    <w:rsid w:val="003D7153"/>
    <w:rsid w:val="003D7825"/>
    <w:rsid w:val="003E2C58"/>
    <w:rsid w:val="003E3FA3"/>
    <w:rsid w:val="003E4F75"/>
    <w:rsid w:val="003F04E7"/>
    <w:rsid w:val="003F1F34"/>
    <w:rsid w:val="003F3F54"/>
    <w:rsid w:val="003F47DF"/>
    <w:rsid w:val="003F5228"/>
    <w:rsid w:val="003F665D"/>
    <w:rsid w:val="003F6717"/>
    <w:rsid w:val="003F6AC0"/>
    <w:rsid w:val="003F718C"/>
    <w:rsid w:val="00401672"/>
    <w:rsid w:val="00403A46"/>
    <w:rsid w:val="00403FF7"/>
    <w:rsid w:val="00406590"/>
    <w:rsid w:val="00410F2D"/>
    <w:rsid w:val="00410FA6"/>
    <w:rsid w:val="00413614"/>
    <w:rsid w:val="00414105"/>
    <w:rsid w:val="00415BE9"/>
    <w:rsid w:val="00421874"/>
    <w:rsid w:val="004222C7"/>
    <w:rsid w:val="00423078"/>
    <w:rsid w:val="00426F99"/>
    <w:rsid w:val="00430541"/>
    <w:rsid w:val="00430DEF"/>
    <w:rsid w:val="0043139C"/>
    <w:rsid w:val="0043261F"/>
    <w:rsid w:val="00433895"/>
    <w:rsid w:val="00434617"/>
    <w:rsid w:val="00437395"/>
    <w:rsid w:val="0043767E"/>
    <w:rsid w:val="00437AD1"/>
    <w:rsid w:val="00441155"/>
    <w:rsid w:val="00444B4C"/>
    <w:rsid w:val="004454F5"/>
    <w:rsid w:val="00446F36"/>
    <w:rsid w:val="00447BD1"/>
    <w:rsid w:val="00451156"/>
    <w:rsid w:val="0045159E"/>
    <w:rsid w:val="00452366"/>
    <w:rsid w:val="00453D3A"/>
    <w:rsid w:val="00454AC8"/>
    <w:rsid w:val="004616FE"/>
    <w:rsid w:val="00465841"/>
    <w:rsid w:val="00466660"/>
    <w:rsid w:val="00467093"/>
    <w:rsid w:val="004721BD"/>
    <w:rsid w:val="00475997"/>
    <w:rsid w:val="00481C37"/>
    <w:rsid w:val="00485E68"/>
    <w:rsid w:val="004868EE"/>
    <w:rsid w:val="00486BE4"/>
    <w:rsid w:val="00487261"/>
    <w:rsid w:val="00487E5D"/>
    <w:rsid w:val="00490F22"/>
    <w:rsid w:val="00491AE5"/>
    <w:rsid w:val="00491F0D"/>
    <w:rsid w:val="00492BEE"/>
    <w:rsid w:val="00495935"/>
    <w:rsid w:val="004A1782"/>
    <w:rsid w:val="004A3221"/>
    <w:rsid w:val="004A35F8"/>
    <w:rsid w:val="004A3F3C"/>
    <w:rsid w:val="004A491B"/>
    <w:rsid w:val="004A4A34"/>
    <w:rsid w:val="004A791F"/>
    <w:rsid w:val="004A795B"/>
    <w:rsid w:val="004B007A"/>
    <w:rsid w:val="004B4ABC"/>
    <w:rsid w:val="004B5FE5"/>
    <w:rsid w:val="004C11D4"/>
    <w:rsid w:val="004C1537"/>
    <w:rsid w:val="004C34A8"/>
    <w:rsid w:val="004C581A"/>
    <w:rsid w:val="004C5AF4"/>
    <w:rsid w:val="004D356D"/>
    <w:rsid w:val="004D35B9"/>
    <w:rsid w:val="004D50A7"/>
    <w:rsid w:val="004D6473"/>
    <w:rsid w:val="004D7FBA"/>
    <w:rsid w:val="004E17E4"/>
    <w:rsid w:val="004E1893"/>
    <w:rsid w:val="004E23A4"/>
    <w:rsid w:val="004E30BD"/>
    <w:rsid w:val="004E4BEF"/>
    <w:rsid w:val="004E539B"/>
    <w:rsid w:val="004E6E9C"/>
    <w:rsid w:val="004F188B"/>
    <w:rsid w:val="004F2245"/>
    <w:rsid w:val="004F46F6"/>
    <w:rsid w:val="004F4ABA"/>
    <w:rsid w:val="004F5E3D"/>
    <w:rsid w:val="004F6045"/>
    <w:rsid w:val="004F6781"/>
    <w:rsid w:val="004F6848"/>
    <w:rsid w:val="00500538"/>
    <w:rsid w:val="005016CD"/>
    <w:rsid w:val="00503826"/>
    <w:rsid w:val="005053DF"/>
    <w:rsid w:val="00505C18"/>
    <w:rsid w:val="00507806"/>
    <w:rsid w:val="00520AD8"/>
    <w:rsid w:val="00520E6C"/>
    <w:rsid w:val="00521141"/>
    <w:rsid w:val="0052378C"/>
    <w:rsid w:val="00527030"/>
    <w:rsid w:val="0052714A"/>
    <w:rsid w:val="00532C94"/>
    <w:rsid w:val="005338C5"/>
    <w:rsid w:val="005358DE"/>
    <w:rsid w:val="00536324"/>
    <w:rsid w:val="00537767"/>
    <w:rsid w:val="00540277"/>
    <w:rsid w:val="00541A90"/>
    <w:rsid w:val="00541AF1"/>
    <w:rsid w:val="00542F53"/>
    <w:rsid w:val="0054305B"/>
    <w:rsid w:val="00543090"/>
    <w:rsid w:val="005452D8"/>
    <w:rsid w:val="005458BD"/>
    <w:rsid w:val="00546AD6"/>
    <w:rsid w:val="005472AA"/>
    <w:rsid w:val="0054747F"/>
    <w:rsid w:val="0055050B"/>
    <w:rsid w:val="00551CCF"/>
    <w:rsid w:val="00553E57"/>
    <w:rsid w:val="00554107"/>
    <w:rsid w:val="00556F50"/>
    <w:rsid w:val="005570C1"/>
    <w:rsid w:val="0055771B"/>
    <w:rsid w:val="00562B8D"/>
    <w:rsid w:val="00562DB0"/>
    <w:rsid w:val="00563748"/>
    <w:rsid w:val="00565827"/>
    <w:rsid w:val="005664D6"/>
    <w:rsid w:val="005708D5"/>
    <w:rsid w:val="00570EFB"/>
    <w:rsid w:val="0057189F"/>
    <w:rsid w:val="00572942"/>
    <w:rsid w:val="005733CC"/>
    <w:rsid w:val="005746D0"/>
    <w:rsid w:val="0057610D"/>
    <w:rsid w:val="0057686E"/>
    <w:rsid w:val="00584CD3"/>
    <w:rsid w:val="00585F01"/>
    <w:rsid w:val="005866C9"/>
    <w:rsid w:val="00590838"/>
    <w:rsid w:val="0059176A"/>
    <w:rsid w:val="00591DCB"/>
    <w:rsid w:val="0059590F"/>
    <w:rsid w:val="00596E2A"/>
    <w:rsid w:val="0059738C"/>
    <w:rsid w:val="005A354F"/>
    <w:rsid w:val="005A3CB1"/>
    <w:rsid w:val="005A3EC8"/>
    <w:rsid w:val="005A4104"/>
    <w:rsid w:val="005A413F"/>
    <w:rsid w:val="005A69F4"/>
    <w:rsid w:val="005A77F5"/>
    <w:rsid w:val="005B0E46"/>
    <w:rsid w:val="005B27EC"/>
    <w:rsid w:val="005B30CF"/>
    <w:rsid w:val="005B50F9"/>
    <w:rsid w:val="005B5D56"/>
    <w:rsid w:val="005B7655"/>
    <w:rsid w:val="005C0A0A"/>
    <w:rsid w:val="005C3048"/>
    <w:rsid w:val="005C6177"/>
    <w:rsid w:val="005D33DC"/>
    <w:rsid w:val="005D4BA1"/>
    <w:rsid w:val="005D7BD0"/>
    <w:rsid w:val="005E24F2"/>
    <w:rsid w:val="005E5126"/>
    <w:rsid w:val="005E65E6"/>
    <w:rsid w:val="005E7485"/>
    <w:rsid w:val="005F3C4D"/>
    <w:rsid w:val="0060415F"/>
    <w:rsid w:val="006073AB"/>
    <w:rsid w:val="0061387E"/>
    <w:rsid w:val="00613A0C"/>
    <w:rsid w:val="00616353"/>
    <w:rsid w:val="00626D3F"/>
    <w:rsid w:val="0063323D"/>
    <w:rsid w:val="0063392C"/>
    <w:rsid w:val="00635301"/>
    <w:rsid w:val="0064022C"/>
    <w:rsid w:val="006411A8"/>
    <w:rsid w:val="00642D04"/>
    <w:rsid w:val="006431A3"/>
    <w:rsid w:val="00644B92"/>
    <w:rsid w:val="00645645"/>
    <w:rsid w:val="006461FC"/>
    <w:rsid w:val="00646760"/>
    <w:rsid w:val="006479B6"/>
    <w:rsid w:val="00650E0A"/>
    <w:rsid w:val="006528CF"/>
    <w:rsid w:val="006539A4"/>
    <w:rsid w:val="00653C9D"/>
    <w:rsid w:val="00666D29"/>
    <w:rsid w:val="00667AB3"/>
    <w:rsid w:val="006705DC"/>
    <w:rsid w:val="006726AB"/>
    <w:rsid w:val="00674826"/>
    <w:rsid w:val="006779EB"/>
    <w:rsid w:val="00681541"/>
    <w:rsid w:val="00681A4D"/>
    <w:rsid w:val="006845EA"/>
    <w:rsid w:val="0068460E"/>
    <w:rsid w:val="00684FB2"/>
    <w:rsid w:val="00687B4C"/>
    <w:rsid w:val="00687D44"/>
    <w:rsid w:val="00690E3D"/>
    <w:rsid w:val="00691EFD"/>
    <w:rsid w:val="00696701"/>
    <w:rsid w:val="006971A4"/>
    <w:rsid w:val="006A1B67"/>
    <w:rsid w:val="006A299B"/>
    <w:rsid w:val="006A2B12"/>
    <w:rsid w:val="006B2543"/>
    <w:rsid w:val="006B2DDF"/>
    <w:rsid w:val="006B4736"/>
    <w:rsid w:val="006B4749"/>
    <w:rsid w:val="006B56C5"/>
    <w:rsid w:val="006C03E0"/>
    <w:rsid w:val="006C0684"/>
    <w:rsid w:val="006C096A"/>
    <w:rsid w:val="006C0EE2"/>
    <w:rsid w:val="006C1627"/>
    <w:rsid w:val="006C2B46"/>
    <w:rsid w:val="006C3795"/>
    <w:rsid w:val="006C45B3"/>
    <w:rsid w:val="006C45FE"/>
    <w:rsid w:val="006C4F18"/>
    <w:rsid w:val="006D02FB"/>
    <w:rsid w:val="006D17F9"/>
    <w:rsid w:val="006D5AEE"/>
    <w:rsid w:val="006D5AFC"/>
    <w:rsid w:val="006E14B7"/>
    <w:rsid w:val="006E14EC"/>
    <w:rsid w:val="006E6A78"/>
    <w:rsid w:val="006E71E3"/>
    <w:rsid w:val="006F051C"/>
    <w:rsid w:val="006F2156"/>
    <w:rsid w:val="006F389C"/>
    <w:rsid w:val="006F3F73"/>
    <w:rsid w:val="006F468D"/>
    <w:rsid w:val="006F4B58"/>
    <w:rsid w:val="006F4C74"/>
    <w:rsid w:val="007017ED"/>
    <w:rsid w:val="00705A82"/>
    <w:rsid w:val="00705ADC"/>
    <w:rsid w:val="00706DF3"/>
    <w:rsid w:val="00707171"/>
    <w:rsid w:val="00710098"/>
    <w:rsid w:val="007100F0"/>
    <w:rsid w:val="007113BF"/>
    <w:rsid w:val="007145AC"/>
    <w:rsid w:val="007153C3"/>
    <w:rsid w:val="0071564D"/>
    <w:rsid w:val="00715970"/>
    <w:rsid w:val="0071603F"/>
    <w:rsid w:val="00720EA5"/>
    <w:rsid w:val="00721FEB"/>
    <w:rsid w:val="00722559"/>
    <w:rsid w:val="007227C2"/>
    <w:rsid w:val="007240A3"/>
    <w:rsid w:val="00725F88"/>
    <w:rsid w:val="00727E45"/>
    <w:rsid w:val="00734EC4"/>
    <w:rsid w:val="00735085"/>
    <w:rsid w:val="0073621C"/>
    <w:rsid w:val="0074113F"/>
    <w:rsid w:val="0074242B"/>
    <w:rsid w:val="00743282"/>
    <w:rsid w:val="007441B9"/>
    <w:rsid w:val="00747E47"/>
    <w:rsid w:val="007508A5"/>
    <w:rsid w:val="007512BC"/>
    <w:rsid w:val="007540EC"/>
    <w:rsid w:val="0075443E"/>
    <w:rsid w:val="00762C4A"/>
    <w:rsid w:val="00763120"/>
    <w:rsid w:val="0076438E"/>
    <w:rsid w:val="0076477B"/>
    <w:rsid w:val="007661F4"/>
    <w:rsid w:val="00767563"/>
    <w:rsid w:val="00767C7A"/>
    <w:rsid w:val="00767E73"/>
    <w:rsid w:val="00770148"/>
    <w:rsid w:val="00772A68"/>
    <w:rsid w:val="0078076C"/>
    <w:rsid w:val="007819A8"/>
    <w:rsid w:val="00782637"/>
    <w:rsid w:val="007846FA"/>
    <w:rsid w:val="00786300"/>
    <w:rsid w:val="007874F1"/>
    <w:rsid w:val="007944AF"/>
    <w:rsid w:val="007953B0"/>
    <w:rsid w:val="00795AAD"/>
    <w:rsid w:val="00796735"/>
    <w:rsid w:val="00796F2B"/>
    <w:rsid w:val="007974BE"/>
    <w:rsid w:val="007A00B9"/>
    <w:rsid w:val="007A27A2"/>
    <w:rsid w:val="007A39D2"/>
    <w:rsid w:val="007A437E"/>
    <w:rsid w:val="007A4485"/>
    <w:rsid w:val="007A65EC"/>
    <w:rsid w:val="007A79D1"/>
    <w:rsid w:val="007B029B"/>
    <w:rsid w:val="007B039B"/>
    <w:rsid w:val="007B22BC"/>
    <w:rsid w:val="007B73C1"/>
    <w:rsid w:val="007B7946"/>
    <w:rsid w:val="007C0512"/>
    <w:rsid w:val="007C21E6"/>
    <w:rsid w:val="007C2972"/>
    <w:rsid w:val="007C533F"/>
    <w:rsid w:val="007C68DC"/>
    <w:rsid w:val="007D6AFB"/>
    <w:rsid w:val="007E0E3B"/>
    <w:rsid w:val="007E14ED"/>
    <w:rsid w:val="007E2DE2"/>
    <w:rsid w:val="007E353A"/>
    <w:rsid w:val="007E7563"/>
    <w:rsid w:val="007F199E"/>
    <w:rsid w:val="007F2B68"/>
    <w:rsid w:val="007F52D3"/>
    <w:rsid w:val="008003BD"/>
    <w:rsid w:val="00801348"/>
    <w:rsid w:val="00802C59"/>
    <w:rsid w:val="00804763"/>
    <w:rsid w:val="008065B4"/>
    <w:rsid w:val="00807260"/>
    <w:rsid w:val="00807DEA"/>
    <w:rsid w:val="00811CEB"/>
    <w:rsid w:val="00812B90"/>
    <w:rsid w:val="00813C61"/>
    <w:rsid w:val="0081514A"/>
    <w:rsid w:val="00816991"/>
    <w:rsid w:val="008173F9"/>
    <w:rsid w:val="0082027F"/>
    <w:rsid w:val="00824A83"/>
    <w:rsid w:val="00827443"/>
    <w:rsid w:val="00827DEC"/>
    <w:rsid w:val="00832E70"/>
    <w:rsid w:val="00833213"/>
    <w:rsid w:val="00833881"/>
    <w:rsid w:val="0083631D"/>
    <w:rsid w:val="00836CAC"/>
    <w:rsid w:val="008415BE"/>
    <w:rsid w:val="00841DF7"/>
    <w:rsid w:val="008420FC"/>
    <w:rsid w:val="00843386"/>
    <w:rsid w:val="00843C70"/>
    <w:rsid w:val="00844D75"/>
    <w:rsid w:val="00845EA6"/>
    <w:rsid w:val="00846E96"/>
    <w:rsid w:val="00851488"/>
    <w:rsid w:val="0085163A"/>
    <w:rsid w:val="00852B1B"/>
    <w:rsid w:val="00852C6F"/>
    <w:rsid w:val="008536D8"/>
    <w:rsid w:val="0085385F"/>
    <w:rsid w:val="00855910"/>
    <w:rsid w:val="008604F7"/>
    <w:rsid w:val="008612EF"/>
    <w:rsid w:val="008613D1"/>
    <w:rsid w:val="00863B1D"/>
    <w:rsid w:val="00864BEB"/>
    <w:rsid w:val="00864C86"/>
    <w:rsid w:val="0086765C"/>
    <w:rsid w:val="008705E8"/>
    <w:rsid w:val="0087139B"/>
    <w:rsid w:val="00871F0A"/>
    <w:rsid w:val="0087577F"/>
    <w:rsid w:val="00881EB4"/>
    <w:rsid w:val="00883AB9"/>
    <w:rsid w:val="00883B2E"/>
    <w:rsid w:val="00883EA9"/>
    <w:rsid w:val="00883FF3"/>
    <w:rsid w:val="00886B2C"/>
    <w:rsid w:val="008873DE"/>
    <w:rsid w:val="0088787F"/>
    <w:rsid w:val="0089124F"/>
    <w:rsid w:val="008914AA"/>
    <w:rsid w:val="00893134"/>
    <w:rsid w:val="008943BE"/>
    <w:rsid w:val="00895933"/>
    <w:rsid w:val="00896304"/>
    <w:rsid w:val="00896D38"/>
    <w:rsid w:val="008A6F12"/>
    <w:rsid w:val="008A7289"/>
    <w:rsid w:val="008B071D"/>
    <w:rsid w:val="008B5148"/>
    <w:rsid w:val="008C0E35"/>
    <w:rsid w:val="008C1171"/>
    <w:rsid w:val="008C267A"/>
    <w:rsid w:val="008C5559"/>
    <w:rsid w:val="008C5AA8"/>
    <w:rsid w:val="008C5D69"/>
    <w:rsid w:val="008C7767"/>
    <w:rsid w:val="008D0AFF"/>
    <w:rsid w:val="008D2918"/>
    <w:rsid w:val="008D4276"/>
    <w:rsid w:val="008D5BF5"/>
    <w:rsid w:val="008D69D8"/>
    <w:rsid w:val="008E0537"/>
    <w:rsid w:val="008E142A"/>
    <w:rsid w:val="008E1619"/>
    <w:rsid w:val="008E2827"/>
    <w:rsid w:val="008F0586"/>
    <w:rsid w:val="008F4202"/>
    <w:rsid w:val="008F440A"/>
    <w:rsid w:val="008F5019"/>
    <w:rsid w:val="008F5771"/>
    <w:rsid w:val="0090094E"/>
    <w:rsid w:val="009017FC"/>
    <w:rsid w:val="00905D7F"/>
    <w:rsid w:val="00906087"/>
    <w:rsid w:val="00907D67"/>
    <w:rsid w:val="009102D5"/>
    <w:rsid w:val="009107BB"/>
    <w:rsid w:val="00910B75"/>
    <w:rsid w:val="0091387D"/>
    <w:rsid w:val="00913C8A"/>
    <w:rsid w:val="009152FB"/>
    <w:rsid w:val="0091659D"/>
    <w:rsid w:val="00921EBD"/>
    <w:rsid w:val="0092288F"/>
    <w:rsid w:val="00922AAD"/>
    <w:rsid w:val="00923381"/>
    <w:rsid w:val="0092442A"/>
    <w:rsid w:val="00933BF2"/>
    <w:rsid w:val="009364A2"/>
    <w:rsid w:val="00936A76"/>
    <w:rsid w:val="00936D86"/>
    <w:rsid w:val="0093712F"/>
    <w:rsid w:val="009423E0"/>
    <w:rsid w:val="00947E05"/>
    <w:rsid w:val="009501AF"/>
    <w:rsid w:val="00950AC0"/>
    <w:rsid w:val="00953265"/>
    <w:rsid w:val="009537AA"/>
    <w:rsid w:val="009544C4"/>
    <w:rsid w:val="00956351"/>
    <w:rsid w:val="00956A2C"/>
    <w:rsid w:val="0096115A"/>
    <w:rsid w:val="00965E40"/>
    <w:rsid w:val="00967729"/>
    <w:rsid w:val="00970046"/>
    <w:rsid w:val="00972F3F"/>
    <w:rsid w:val="0097376C"/>
    <w:rsid w:val="009737C9"/>
    <w:rsid w:val="00974171"/>
    <w:rsid w:val="00974493"/>
    <w:rsid w:val="0097557A"/>
    <w:rsid w:val="009772FE"/>
    <w:rsid w:val="009776D8"/>
    <w:rsid w:val="00982459"/>
    <w:rsid w:val="0098428D"/>
    <w:rsid w:val="00984521"/>
    <w:rsid w:val="0098669B"/>
    <w:rsid w:val="00986FF2"/>
    <w:rsid w:val="00987597"/>
    <w:rsid w:val="00994570"/>
    <w:rsid w:val="00994C54"/>
    <w:rsid w:val="00995EC4"/>
    <w:rsid w:val="00996C9E"/>
    <w:rsid w:val="009A04F7"/>
    <w:rsid w:val="009A08B8"/>
    <w:rsid w:val="009A11D6"/>
    <w:rsid w:val="009A1503"/>
    <w:rsid w:val="009A1812"/>
    <w:rsid w:val="009A2DD1"/>
    <w:rsid w:val="009B1D3B"/>
    <w:rsid w:val="009B24A1"/>
    <w:rsid w:val="009B2F30"/>
    <w:rsid w:val="009B6E19"/>
    <w:rsid w:val="009C0564"/>
    <w:rsid w:val="009C174C"/>
    <w:rsid w:val="009C2666"/>
    <w:rsid w:val="009C4937"/>
    <w:rsid w:val="009C527F"/>
    <w:rsid w:val="009C5D08"/>
    <w:rsid w:val="009C7184"/>
    <w:rsid w:val="009D074C"/>
    <w:rsid w:val="009D4A5C"/>
    <w:rsid w:val="009D63AD"/>
    <w:rsid w:val="009D6E1E"/>
    <w:rsid w:val="009D7563"/>
    <w:rsid w:val="009E089D"/>
    <w:rsid w:val="009E0AC8"/>
    <w:rsid w:val="009E1D3B"/>
    <w:rsid w:val="009E2549"/>
    <w:rsid w:val="009E5390"/>
    <w:rsid w:val="009E7530"/>
    <w:rsid w:val="009F1E34"/>
    <w:rsid w:val="009F3D95"/>
    <w:rsid w:val="009F42F8"/>
    <w:rsid w:val="009F5EAC"/>
    <w:rsid w:val="00A0122D"/>
    <w:rsid w:val="00A02C63"/>
    <w:rsid w:val="00A04C07"/>
    <w:rsid w:val="00A05B33"/>
    <w:rsid w:val="00A10843"/>
    <w:rsid w:val="00A10EC9"/>
    <w:rsid w:val="00A115F1"/>
    <w:rsid w:val="00A12636"/>
    <w:rsid w:val="00A13909"/>
    <w:rsid w:val="00A13D24"/>
    <w:rsid w:val="00A145A3"/>
    <w:rsid w:val="00A14E20"/>
    <w:rsid w:val="00A15B78"/>
    <w:rsid w:val="00A16197"/>
    <w:rsid w:val="00A177DD"/>
    <w:rsid w:val="00A227FA"/>
    <w:rsid w:val="00A239E6"/>
    <w:rsid w:val="00A23EE8"/>
    <w:rsid w:val="00A263A1"/>
    <w:rsid w:val="00A26C26"/>
    <w:rsid w:val="00A271D7"/>
    <w:rsid w:val="00A27458"/>
    <w:rsid w:val="00A276FD"/>
    <w:rsid w:val="00A321E5"/>
    <w:rsid w:val="00A32280"/>
    <w:rsid w:val="00A3373F"/>
    <w:rsid w:val="00A352F7"/>
    <w:rsid w:val="00A358E8"/>
    <w:rsid w:val="00A410C1"/>
    <w:rsid w:val="00A446F3"/>
    <w:rsid w:val="00A447CA"/>
    <w:rsid w:val="00A45E5A"/>
    <w:rsid w:val="00A46814"/>
    <w:rsid w:val="00A51DC7"/>
    <w:rsid w:val="00A5224A"/>
    <w:rsid w:val="00A572C7"/>
    <w:rsid w:val="00A61A7C"/>
    <w:rsid w:val="00A61E9D"/>
    <w:rsid w:val="00A65D48"/>
    <w:rsid w:val="00A67532"/>
    <w:rsid w:val="00A71629"/>
    <w:rsid w:val="00A73821"/>
    <w:rsid w:val="00A746B2"/>
    <w:rsid w:val="00A7785D"/>
    <w:rsid w:val="00A77F8A"/>
    <w:rsid w:val="00A8488B"/>
    <w:rsid w:val="00A85534"/>
    <w:rsid w:val="00A91D41"/>
    <w:rsid w:val="00A939E7"/>
    <w:rsid w:val="00A96EBE"/>
    <w:rsid w:val="00AA282D"/>
    <w:rsid w:val="00AA2898"/>
    <w:rsid w:val="00AA5444"/>
    <w:rsid w:val="00AA5E8C"/>
    <w:rsid w:val="00AB007C"/>
    <w:rsid w:val="00AB44AA"/>
    <w:rsid w:val="00AB4732"/>
    <w:rsid w:val="00AC0C90"/>
    <w:rsid w:val="00AC22A5"/>
    <w:rsid w:val="00AC4088"/>
    <w:rsid w:val="00AC5DB1"/>
    <w:rsid w:val="00AD0B13"/>
    <w:rsid w:val="00AD121C"/>
    <w:rsid w:val="00AD1815"/>
    <w:rsid w:val="00AD28BD"/>
    <w:rsid w:val="00AD31F1"/>
    <w:rsid w:val="00AD3C46"/>
    <w:rsid w:val="00AD4A1C"/>
    <w:rsid w:val="00AD78EF"/>
    <w:rsid w:val="00AD7CB4"/>
    <w:rsid w:val="00AE0BD8"/>
    <w:rsid w:val="00AE1101"/>
    <w:rsid w:val="00AF226D"/>
    <w:rsid w:val="00AF46B9"/>
    <w:rsid w:val="00AF6486"/>
    <w:rsid w:val="00AF7CDC"/>
    <w:rsid w:val="00B00ABC"/>
    <w:rsid w:val="00B01714"/>
    <w:rsid w:val="00B02B99"/>
    <w:rsid w:val="00B033F9"/>
    <w:rsid w:val="00B03554"/>
    <w:rsid w:val="00B03A36"/>
    <w:rsid w:val="00B03DFF"/>
    <w:rsid w:val="00B0460C"/>
    <w:rsid w:val="00B05726"/>
    <w:rsid w:val="00B06F8D"/>
    <w:rsid w:val="00B07002"/>
    <w:rsid w:val="00B07CCC"/>
    <w:rsid w:val="00B10314"/>
    <w:rsid w:val="00B12E53"/>
    <w:rsid w:val="00B13163"/>
    <w:rsid w:val="00B139F3"/>
    <w:rsid w:val="00B13F4B"/>
    <w:rsid w:val="00B14443"/>
    <w:rsid w:val="00B14B29"/>
    <w:rsid w:val="00B14F5F"/>
    <w:rsid w:val="00B14F7D"/>
    <w:rsid w:val="00B15EDE"/>
    <w:rsid w:val="00B17885"/>
    <w:rsid w:val="00B17977"/>
    <w:rsid w:val="00B2679E"/>
    <w:rsid w:val="00B32976"/>
    <w:rsid w:val="00B32A17"/>
    <w:rsid w:val="00B34E64"/>
    <w:rsid w:val="00B352F8"/>
    <w:rsid w:val="00B3704B"/>
    <w:rsid w:val="00B41672"/>
    <w:rsid w:val="00B4460D"/>
    <w:rsid w:val="00B469F4"/>
    <w:rsid w:val="00B507FC"/>
    <w:rsid w:val="00B51E14"/>
    <w:rsid w:val="00B5424C"/>
    <w:rsid w:val="00B55D71"/>
    <w:rsid w:val="00B57302"/>
    <w:rsid w:val="00B60A41"/>
    <w:rsid w:val="00B6631B"/>
    <w:rsid w:val="00B66EAF"/>
    <w:rsid w:val="00B71604"/>
    <w:rsid w:val="00B741CD"/>
    <w:rsid w:val="00B751E9"/>
    <w:rsid w:val="00B75630"/>
    <w:rsid w:val="00B77835"/>
    <w:rsid w:val="00B81715"/>
    <w:rsid w:val="00B91F63"/>
    <w:rsid w:val="00B924CD"/>
    <w:rsid w:val="00B9288B"/>
    <w:rsid w:val="00B9308E"/>
    <w:rsid w:val="00B951B2"/>
    <w:rsid w:val="00BA3EE6"/>
    <w:rsid w:val="00BA4A87"/>
    <w:rsid w:val="00BA4B4A"/>
    <w:rsid w:val="00BA5354"/>
    <w:rsid w:val="00BA7CAC"/>
    <w:rsid w:val="00BB06DD"/>
    <w:rsid w:val="00BB1203"/>
    <w:rsid w:val="00BB4838"/>
    <w:rsid w:val="00BB73D9"/>
    <w:rsid w:val="00BC09A5"/>
    <w:rsid w:val="00BC1AA9"/>
    <w:rsid w:val="00BC1E9D"/>
    <w:rsid w:val="00BC20AF"/>
    <w:rsid w:val="00BC4F68"/>
    <w:rsid w:val="00BC51AD"/>
    <w:rsid w:val="00BC785A"/>
    <w:rsid w:val="00BD1786"/>
    <w:rsid w:val="00BD33E0"/>
    <w:rsid w:val="00BD36C2"/>
    <w:rsid w:val="00BD3A2F"/>
    <w:rsid w:val="00BD589B"/>
    <w:rsid w:val="00BD6E01"/>
    <w:rsid w:val="00BE0133"/>
    <w:rsid w:val="00BE0F9E"/>
    <w:rsid w:val="00BE3A6B"/>
    <w:rsid w:val="00BE4187"/>
    <w:rsid w:val="00BF0039"/>
    <w:rsid w:val="00BF023B"/>
    <w:rsid w:val="00BF2B8A"/>
    <w:rsid w:val="00BF3346"/>
    <w:rsid w:val="00BF44F8"/>
    <w:rsid w:val="00BF4A1D"/>
    <w:rsid w:val="00BF6FF1"/>
    <w:rsid w:val="00BF7363"/>
    <w:rsid w:val="00C01213"/>
    <w:rsid w:val="00C02F84"/>
    <w:rsid w:val="00C04F2D"/>
    <w:rsid w:val="00C06B7B"/>
    <w:rsid w:val="00C074BF"/>
    <w:rsid w:val="00C10DB9"/>
    <w:rsid w:val="00C13962"/>
    <w:rsid w:val="00C16F8E"/>
    <w:rsid w:val="00C23C67"/>
    <w:rsid w:val="00C24C3B"/>
    <w:rsid w:val="00C269EC"/>
    <w:rsid w:val="00C3022E"/>
    <w:rsid w:val="00C353F9"/>
    <w:rsid w:val="00C35B1A"/>
    <w:rsid w:val="00C43387"/>
    <w:rsid w:val="00C46FF9"/>
    <w:rsid w:val="00C47722"/>
    <w:rsid w:val="00C50999"/>
    <w:rsid w:val="00C50CC0"/>
    <w:rsid w:val="00C517C4"/>
    <w:rsid w:val="00C547A4"/>
    <w:rsid w:val="00C55A36"/>
    <w:rsid w:val="00C561D5"/>
    <w:rsid w:val="00C566AB"/>
    <w:rsid w:val="00C573D0"/>
    <w:rsid w:val="00C61057"/>
    <w:rsid w:val="00C664B2"/>
    <w:rsid w:val="00C66D98"/>
    <w:rsid w:val="00C702BF"/>
    <w:rsid w:val="00C70FE2"/>
    <w:rsid w:val="00C75A79"/>
    <w:rsid w:val="00C77CAE"/>
    <w:rsid w:val="00C84412"/>
    <w:rsid w:val="00C85C8C"/>
    <w:rsid w:val="00C86829"/>
    <w:rsid w:val="00C87109"/>
    <w:rsid w:val="00C872E4"/>
    <w:rsid w:val="00C87A61"/>
    <w:rsid w:val="00C90FA9"/>
    <w:rsid w:val="00C91A23"/>
    <w:rsid w:val="00C93C16"/>
    <w:rsid w:val="00C96036"/>
    <w:rsid w:val="00C97CF7"/>
    <w:rsid w:val="00CA0C19"/>
    <w:rsid w:val="00CA300B"/>
    <w:rsid w:val="00CA3C16"/>
    <w:rsid w:val="00CA53CB"/>
    <w:rsid w:val="00CA5C6C"/>
    <w:rsid w:val="00CA79E7"/>
    <w:rsid w:val="00CB03EE"/>
    <w:rsid w:val="00CB2603"/>
    <w:rsid w:val="00CB4B2D"/>
    <w:rsid w:val="00CB648A"/>
    <w:rsid w:val="00CB6B2F"/>
    <w:rsid w:val="00CB6DF9"/>
    <w:rsid w:val="00CB6E86"/>
    <w:rsid w:val="00CB720E"/>
    <w:rsid w:val="00CC073E"/>
    <w:rsid w:val="00CC0DB6"/>
    <w:rsid w:val="00CC0E6D"/>
    <w:rsid w:val="00CC296C"/>
    <w:rsid w:val="00CC3DD5"/>
    <w:rsid w:val="00CC45CC"/>
    <w:rsid w:val="00CD0227"/>
    <w:rsid w:val="00CD0DF5"/>
    <w:rsid w:val="00CD2777"/>
    <w:rsid w:val="00CD393C"/>
    <w:rsid w:val="00CD43C6"/>
    <w:rsid w:val="00CD54AB"/>
    <w:rsid w:val="00CD5A6A"/>
    <w:rsid w:val="00CD6F02"/>
    <w:rsid w:val="00CE23ED"/>
    <w:rsid w:val="00CE28EF"/>
    <w:rsid w:val="00CE2FA1"/>
    <w:rsid w:val="00CE4923"/>
    <w:rsid w:val="00CE4C66"/>
    <w:rsid w:val="00CE5411"/>
    <w:rsid w:val="00CE6432"/>
    <w:rsid w:val="00CF2964"/>
    <w:rsid w:val="00CF5706"/>
    <w:rsid w:val="00CF6049"/>
    <w:rsid w:val="00D00371"/>
    <w:rsid w:val="00D01677"/>
    <w:rsid w:val="00D030EC"/>
    <w:rsid w:val="00D0327E"/>
    <w:rsid w:val="00D04698"/>
    <w:rsid w:val="00D0554F"/>
    <w:rsid w:val="00D07407"/>
    <w:rsid w:val="00D1263C"/>
    <w:rsid w:val="00D12C3F"/>
    <w:rsid w:val="00D14B54"/>
    <w:rsid w:val="00D14BF0"/>
    <w:rsid w:val="00D21DB4"/>
    <w:rsid w:val="00D22E14"/>
    <w:rsid w:val="00D230F2"/>
    <w:rsid w:val="00D277CA"/>
    <w:rsid w:val="00D27BFD"/>
    <w:rsid w:val="00D31052"/>
    <w:rsid w:val="00D31273"/>
    <w:rsid w:val="00D31A2B"/>
    <w:rsid w:val="00D336F5"/>
    <w:rsid w:val="00D341AF"/>
    <w:rsid w:val="00D3427D"/>
    <w:rsid w:val="00D349CB"/>
    <w:rsid w:val="00D35984"/>
    <w:rsid w:val="00D36036"/>
    <w:rsid w:val="00D3702F"/>
    <w:rsid w:val="00D402F9"/>
    <w:rsid w:val="00D44211"/>
    <w:rsid w:val="00D46D89"/>
    <w:rsid w:val="00D47E4C"/>
    <w:rsid w:val="00D525E7"/>
    <w:rsid w:val="00D53DB8"/>
    <w:rsid w:val="00D54A7D"/>
    <w:rsid w:val="00D54CBD"/>
    <w:rsid w:val="00D56691"/>
    <w:rsid w:val="00D64081"/>
    <w:rsid w:val="00D65801"/>
    <w:rsid w:val="00D7246A"/>
    <w:rsid w:val="00D72630"/>
    <w:rsid w:val="00D73A4F"/>
    <w:rsid w:val="00D754CD"/>
    <w:rsid w:val="00D76737"/>
    <w:rsid w:val="00D770DD"/>
    <w:rsid w:val="00D8196C"/>
    <w:rsid w:val="00D84E36"/>
    <w:rsid w:val="00D87A3F"/>
    <w:rsid w:val="00D903A2"/>
    <w:rsid w:val="00D930B3"/>
    <w:rsid w:val="00D9458F"/>
    <w:rsid w:val="00D966A7"/>
    <w:rsid w:val="00D9714D"/>
    <w:rsid w:val="00D97CA3"/>
    <w:rsid w:val="00DA02D1"/>
    <w:rsid w:val="00DA1533"/>
    <w:rsid w:val="00DA1737"/>
    <w:rsid w:val="00DA260E"/>
    <w:rsid w:val="00DA3FBF"/>
    <w:rsid w:val="00DA4039"/>
    <w:rsid w:val="00DA6D52"/>
    <w:rsid w:val="00DB0B2D"/>
    <w:rsid w:val="00DB2ABB"/>
    <w:rsid w:val="00DB4F68"/>
    <w:rsid w:val="00DC0BF6"/>
    <w:rsid w:val="00DC3FFA"/>
    <w:rsid w:val="00DC400D"/>
    <w:rsid w:val="00DC5134"/>
    <w:rsid w:val="00DD280A"/>
    <w:rsid w:val="00DD4525"/>
    <w:rsid w:val="00DD4911"/>
    <w:rsid w:val="00DE1604"/>
    <w:rsid w:val="00DE1BD5"/>
    <w:rsid w:val="00DE24EA"/>
    <w:rsid w:val="00DE2652"/>
    <w:rsid w:val="00DE460C"/>
    <w:rsid w:val="00DE5D47"/>
    <w:rsid w:val="00DF1A34"/>
    <w:rsid w:val="00DF3068"/>
    <w:rsid w:val="00DF5273"/>
    <w:rsid w:val="00DF69D4"/>
    <w:rsid w:val="00DF7C3D"/>
    <w:rsid w:val="00E01D31"/>
    <w:rsid w:val="00E033FB"/>
    <w:rsid w:val="00E05B5A"/>
    <w:rsid w:val="00E05DC5"/>
    <w:rsid w:val="00E063E5"/>
    <w:rsid w:val="00E107AE"/>
    <w:rsid w:val="00E148A8"/>
    <w:rsid w:val="00E15148"/>
    <w:rsid w:val="00E15DEF"/>
    <w:rsid w:val="00E1736F"/>
    <w:rsid w:val="00E17945"/>
    <w:rsid w:val="00E22381"/>
    <w:rsid w:val="00E2246C"/>
    <w:rsid w:val="00E236C1"/>
    <w:rsid w:val="00E25FCE"/>
    <w:rsid w:val="00E26606"/>
    <w:rsid w:val="00E32118"/>
    <w:rsid w:val="00E32C9E"/>
    <w:rsid w:val="00E35564"/>
    <w:rsid w:val="00E378A3"/>
    <w:rsid w:val="00E4053E"/>
    <w:rsid w:val="00E4202D"/>
    <w:rsid w:val="00E421E3"/>
    <w:rsid w:val="00E424F7"/>
    <w:rsid w:val="00E4285B"/>
    <w:rsid w:val="00E452EA"/>
    <w:rsid w:val="00E50D8B"/>
    <w:rsid w:val="00E51FD6"/>
    <w:rsid w:val="00E52491"/>
    <w:rsid w:val="00E56386"/>
    <w:rsid w:val="00E60281"/>
    <w:rsid w:val="00E61625"/>
    <w:rsid w:val="00E620F2"/>
    <w:rsid w:val="00E6273A"/>
    <w:rsid w:val="00E6305D"/>
    <w:rsid w:val="00E652DE"/>
    <w:rsid w:val="00E65DFA"/>
    <w:rsid w:val="00E66D6E"/>
    <w:rsid w:val="00E703A1"/>
    <w:rsid w:val="00E70E2C"/>
    <w:rsid w:val="00E7306C"/>
    <w:rsid w:val="00E7307E"/>
    <w:rsid w:val="00E73E52"/>
    <w:rsid w:val="00E7401A"/>
    <w:rsid w:val="00E74C01"/>
    <w:rsid w:val="00E75752"/>
    <w:rsid w:val="00E76461"/>
    <w:rsid w:val="00E7752C"/>
    <w:rsid w:val="00E81C39"/>
    <w:rsid w:val="00E840E7"/>
    <w:rsid w:val="00E86222"/>
    <w:rsid w:val="00E906CD"/>
    <w:rsid w:val="00E9271B"/>
    <w:rsid w:val="00E9359D"/>
    <w:rsid w:val="00E946B2"/>
    <w:rsid w:val="00E9525D"/>
    <w:rsid w:val="00E96559"/>
    <w:rsid w:val="00EA0AF5"/>
    <w:rsid w:val="00EA47C9"/>
    <w:rsid w:val="00EA5272"/>
    <w:rsid w:val="00EA6BC6"/>
    <w:rsid w:val="00EB206A"/>
    <w:rsid w:val="00EB2B99"/>
    <w:rsid w:val="00EB5A60"/>
    <w:rsid w:val="00EC0A45"/>
    <w:rsid w:val="00EC0F96"/>
    <w:rsid w:val="00EC33FE"/>
    <w:rsid w:val="00EC3DFC"/>
    <w:rsid w:val="00EC6F7E"/>
    <w:rsid w:val="00ED1BB7"/>
    <w:rsid w:val="00ED3CC1"/>
    <w:rsid w:val="00ED51EE"/>
    <w:rsid w:val="00ED6719"/>
    <w:rsid w:val="00ED7C58"/>
    <w:rsid w:val="00EE0E5A"/>
    <w:rsid w:val="00EE27E8"/>
    <w:rsid w:val="00EE70A0"/>
    <w:rsid w:val="00EF2137"/>
    <w:rsid w:val="00F03F24"/>
    <w:rsid w:val="00F04AAC"/>
    <w:rsid w:val="00F06A9D"/>
    <w:rsid w:val="00F06C5F"/>
    <w:rsid w:val="00F104EC"/>
    <w:rsid w:val="00F107D0"/>
    <w:rsid w:val="00F114D4"/>
    <w:rsid w:val="00F1323D"/>
    <w:rsid w:val="00F15398"/>
    <w:rsid w:val="00F1586A"/>
    <w:rsid w:val="00F15940"/>
    <w:rsid w:val="00F17DD3"/>
    <w:rsid w:val="00F231CC"/>
    <w:rsid w:val="00F23CC6"/>
    <w:rsid w:val="00F24654"/>
    <w:rsid w:val="00F275B4"/>
    <w:rsid w:val="00F27E0B"/>
    <w:rsid w:val="00F3071C"/>
    <w:rsid w:val="00F32358"/>
    <w:rsid w:val="00F32735"/>
    <w:rsid w:val="00F3305F"/>
    <w:rsid w:val="00F335A4"/>
    <w:rsid w:val="00F3629F"/>
    <w:rsid w:val="00F40482"/>
    <w:rsid w:val="00F4222A"/>
    <w:rsid w:val="00F42BDC"/>
    <w:rsid w:val="00F455B3"/>
    <w:rsid w:val="00F46BF0"/>
    <w:rsid w:val="00F47386"/>
    <w:rsid w:val="00F508D4"/>
    <w:rsid w:val="00F543A7"/>
    <w:rsid w:val="00F557BD"/>
    <w:rsid w:val="00F55D2A"/>
    <w:rsid w:val="00F57B62"/>
    <w:rsid w:val="00F60267"/>
    <w:rsid w:val="00F61F85"/>
    <w:rsid w:val="00F62DAF"/>
    <w:rsid w:val="00F641D3"/>
    <w:rsid w:val="00F72753"/>
    <w:rsid w:val="00F743C8"/>
    <w:rsid w:val="00F7492E"/>
    <w:rsid w:val="00F75CA3"/>
    <w:rsid w:val="00F7637D"/>
    <w:rsid w:val="00F801E3"/>
    <w:rsid w:val="00F8179B"/>
    <w:rsid w:val="00F84EB6"/>
    <w:rsid w:val="00F87C9C"/>
    <w:rsid w:val="00F9039B"/>
    <w:rsid w:val="00F912B5"/>
    <w:rsid w:val="00F934D5"/>
    <w:rsid w:val="00F93D2E"/>
    <w:rsid w:val="00F9697E"/>
    <w:rsid w:val="00F9741F"/>
    <w:rsid w:val="00F97925"/>
    <w:rsid w:val="00FA0B72"/>
    <w:rsid w:val="00FA1700"/>
    <w:rsid w:val="00FA4B07"/>
    <w:rsid w:val="00FA4F3C"/>
    <w:rsid w:val="00FA5202"/>
    <w:rsid w:val="00FA646A"/>
    <w:rsid w:val="00FB1552"/>
    <w:rsid w:val="00FB189E"/>
    <w:rsid w:val="00FB4B0B"/>
    <w:rsid w:val="00FB5068"/>
    <w:rsid w:val="00FB54A7"/>
    <w:rsid w:val="00FB7D90"/>
    <w:rsid w:val="00FC002A"/>
    <w:rsid w:val="00FC0B12"/>
    <w:rsid w:val="00FC0D3B"/>
    <w:rsid w:val="00FC354D"/>
    <w:rsid w:val="00FC5E65"/>
    <w:rsid w:val="00FC6C18"/>
    <w:rsid w:val="00FD0580"/>
    <w:rsid w:val="00FD09E2"/>
    <w:rsid w:val="00FD302E"/>
    <w:rsid w:val="00FD43CE"/>
    <w:rsid w:val="00FD7A2D"/>
    <w:rsid w:val="00FE2D4C"/>
    <w:rsid w:val="00FE3DD3"/>
    <w:rsid w:val="00FE3E08"/>
    <w:rsid w:val="00FE4BEF"/>
    <w:rsid w:val="00FE7A83"/>
    <w:rsid w:val="00FF153F"/>
    <w:rsid w:val="00FF3F77"/>
    <w:rsid w:val="00FF4866"/>
    <w:rsid w:val="00FF62BF"/>
    <w:rsid w:val="00FF70B3"/>
    <w:rsid w:val="04C9278F"/>
    <w:rsid w:val="058F7D8A"/>
    <w:rsid w:val="063C4091"/>
    <w:rsid w:val="0A6B77AC"/>
    <w:rsid w:val="0A8A32C3"/>
    <w:rsid w:val="0F3A6403"/>
    <w:rsid w:val="0F6032E8"/>
    <w:rsid w:val="1142483F"/>
    <w:rsid w:val="11845DB6"/>
    <w:rsid w:val="119E7E8B"/>
    <w:rsid w:val="12152C21"/>
    <w:rsid w:val="125B4B29"/>
    <w:rsid w:val="12C74F57"/>
    <w:rsid w:val="1318795C"/>
    <w:rsid w:val="1323086B"/>
    <w:rsid w:val="14DC70D7"/>
    <w:rsid w:val="16167D8F"/>
    <w:rsid w:val="185C2519"/>
    <w:rsid w:val="1AA40D54"/>
    <w:rsid w:val="1ACF1B4C"/>
    <w:rsid w:val="1BF858BD"/>
    <w:rsid w:val="1CFE13A0"/>
    <w:rsid w:val="1D8D2203"/>
    <w:rsid w:val="1E197965"/>
    <w:rsid w:val="1EA11491"/>
    <w:rsid w:val="1F3C2FE1"/>
    <w:rsid w:val="1F585198"/>
    <w:rsid w:val="1F9D6260"/>
    <w:rsid w:val="20E17D82"/>
    <w:rsid w:val="219826B8"/>
    <w:rsid w:val="264A23A1"/>
    <w:rsid w:val="26CF203B"/>
    <w:rsid w:val="26EC0983"/>
    <w:rsid w:val="2B1E34B4"/>
    <w:rsid w:val="2B3E21ED"/>
    <w:rsid w:val="2B6A2657"/>
    <w:rsid w:val="2C3C3AD5"/>
    <w:rsid w:val="2E573E24"/>
    <w:rsid w:val="30B401AA"/>
    <w:rsid w:val="317A545E"/>
    <w:rsid w:val="322308C5"/>
    <w:rsid w:val="326E4A78"/>
    <w:rsid w:val="33E373E2"/>
    <w:rsid w:val="35275148"/>
    <w:rsid w:val="357A4849"/>
    <w:rsid w:val="36B43AE5"/>
    <w:rsid w:val="36C03EFA"/>
    <w:rsid w:val="37E97A70"/>
    <w:rsid w:val="39FFDBB7"/>
    <w:rsid w:val="3B836234"/>
    <w:rsid w:val="3C543D47"/>
    <w:rsid w:val="3C631823"/>
    <w:rsid w:val="3EC527D9"/>
    <w:rsid w:val="3F1C6199"/>
    <w:rsid w:val="40600DAE"/>
    <w:rsid w:val="414A6B7D"/>
    <w:rsid w:val="43D755CF"/>
    <w:rsid w:val="450542B6"/>
    <w:rsid w:val="4728624E"/>
    <w:rsid w:val="47E124D1"/>
    <w:rsid w:val="48633D97"/>
    <w:rsid w:val="4877476B"/>
    <w:rsid w:val="48995F56"/>
    <w:rsid w:val="48F71DB6"/>
    <w:rsid w:val="4AA645F2"/>
    <w:rsid w:val="4D8465BE"/>
    <w:rsid w:val="4D9110CC"/>
    <w:rsid w:val="514D3B37"/>
    <w:rsid w:val="51523DC7"/>
    <w:rsid w:val="52085330"/>
    <w:rsid w:val="53A51CEB"/>
    <w:rsid w:val="53EF79C7"/>
    <w:rsid w:val="54F36433"/>
    <w:rsid w:val="55057B72"/>
    <w:rsid w:val="592D6D40"/>
    <w:rsid w:val="5BF949F3"/>
    <w:rsid w:val="5C5477DD"/>
    <w:rsid w:val="5D8C0A78"/>
    <w:rsid w:val="5FDF4D41"/>
    <w:rsid w:val="621F2947"/>
    <w:rsid w:val="632A5196"/>
    <w:rsid w:val="63EA2212"/>
    <w:rsid w:val="63EF771A"/>
    <w:rsid w:val="68002D30"/>
    <w:rsid w:val="69BB5541"/>
    <w:rsid w:val="6A077C02"/>
    <w:rsid w:val="6AEA0ADF"/>
    <w:rsid w:val="6B17268F"/>
    <w:rsid w:val="6BFD3151"/>
    <w:rsid w:val="6C7E06F7"/>
    <w:rsid w:val="6C93617A"/>
    <w:rsid w:val="6CF50029"/>
    <w:rsid w:val="6DC9627D"/>
    <w:rsid w:val="6E2507CB"/>
    <w:rsid w:val="6F955DA6"/>
    <w:rsid w:val="6FFEFCC5"/>
    <w:rsid w:val="7252521E"/>
    <w:rsid w:val="727E1D88"/>
    <w:rsid w:val="728C5E44"/>
    <w:rsid w:val="744246C9"/>
    <w:rsid w:val="75A95C92"/>
    <w:rsid w:val="77FA0E18"/>
    <w:rsid w:val="79AF2C65"/>
    <w:rsid w:val="7BD05168"/>
    <w:rsid w:val="7DAE4E52"/>
    <w:rsid w:val="7DF92BFE"/>
    <w:rsid w:val="7F754FAB"/>
    <w:rsid w:val="7FAF03B7"/>
    <w:rsid w:val="7FB4FEAF"/>
    <w:rsid w:val="7FBB354B"/>
    <w:rsid w:val="7FFDD86D"/>
    <w:rsid w:val="D3F9421B"/>
    <w:rsid w:val="DAE9ED68"/>
    <w:rsid w:val="DEBA0FEE"/>
    <w:rsid w:val="E5FF9822"/>
    <w:rsid w:val="EF7B9B7D"/>
    <w:rsid w:val="EFF6F737"/>
    <w:rsid w:val="FD7DA6E1"/>
    <w:rsid w:val="FFAF71A8"/>
  </w:rsids>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nhideWhenUsed="0" w:uiPriority="0" w:semiHidden="0" w:name="heading 3" w:locked="1"/>
    <w:lsdException w:qFormat="1" w:uiPriority="0" w:semiHidden="0" w:name="heading 4" w:locked="1"/>
    <w:lsdException w:qFormat="1" w:uiPriority="0" w:semiHidden="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iPriority="0" w:name="toc 2" w:locked="1"/>
    <w:lsdException w:uiPriority="0" w:name="toc 3" w:locked="1"/>
    <w:lsdException w:uiPriority="0" w:name="toc 4" w:locked="1"/>
    <w:lsdException w:uiPriority="0" w:name="toc 5" w:locked="1"/>
    <w:lsdException w:qFormat="1" w:unhideWhenUsed="0" w:uiPriority="99" w:name="toc 6" w:locked="1"/>
    <w:lsdException w:uiPriority="0" w:name="toc 7" w:locked="1"/>
    <w:lsdException w:uiPriority="0" w:name="toc 8" w:locked="1"/>
    <w:lsdException w:uiPriority="0" w:name="toc 9" w:locked="1"/>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qFormat="1" w:uiPriority="99" w:semiHidden="0" w:name="List"/>
    <w:lsdException w:uiPriority="99" w:name="List Bullet"/>
    <w:lsdException w:qFormat="1" w:unhideWhenUsed="0" w:uiPriority="99"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semiHidden="0"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heading 2"/>
    <w:basedOn w:val="1"/>
    <w:next w:val="1"/>
    <w:link w:val="36"/>
    <w:qFormat/>
    <w:uiPriority w:val="99"/>
    <w:pPr>
      <w:keepNext/>
      <w:keepLines/>
      <w:spacing w:before="260" w:after="260" w:line="410" w:lineRule="auto"/>
      <w:outlineLvl w:val="1"/>
    </w:pPr>
    <w:rPr>
      <w:rFonts w:ascii="Arial" w:hAnsi="Arial" w:eastAsia="黑体"/>
      <w:b/>
      <w:kern w:val="0"/>
      <w:sz w:val="32"/>
      <w:szCs w:val="20"/>
    </w:rPr>
  </w:style>
  <w:style w:type="paragraph" w:styleId="5">
    <w:name w:val="heading 3"/>
    <w:basedOn w:val="1"/>
    <w:next w:val="1"/>
    <w:link w:val="65"/>
    <w:qFormat/>
    <w:locked/>
    <w:uiPriority w:val="0"/>
    <w:pPr>
      <w:keepNext/>
      <w:keepLines/>
      <w:spacing w:before="260" w:after="260" w:line="416" w:lineRule="auto"/>
      <w:outlineLvl w:val="2"/>
    </w:pPr>
    <w:rPr>
      <w:b/>
      <w:bCs/>
      <w:sz w:val="32"/>
      <w:szCs w:val="32"/>
    </w:rPr>
  </w:style>
  <w:style w:type="paragraph" w:styleId="6">
    <w:name w:val="heading 4"/>
    <w:basedOn w:val="1"/>
    <w:next w:val="1"/>
    <w:link w:val="69"/>
    <w:unhideWhenUsed/>
    <w:qFormat/>
    <w:locked/>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75"/>
    <w:unhideWhenUsed/>
    <w:qFormat/>
    <w:locked/>
    <w:uiPriority w:val="0"/>
    <w:pPr>
      <w:keepNext/>
      <w:keepLines/>
      <w:spacing w:before="280" w:after="290" w:line="376" w:lineRule="auto"/>
      <w:outlineLvl w:val="4"/>
    </w:pPr>
    <w:rPr>
      <w:b/>
      <w:bCs/>
      <w:sz w:val="28"/>
      <w:szCs w:val="28"/>
    </w:rPr>
  </w:style>
  <w:style w:type="character" w:default="1" w:styleId="28">
    <w:name w:val="Default Paragraph Font"/>
    <w:unhideWhenUsed/>
    <w:qFormat/>
    <w:uiPriority w:val="1"/>
  </w:style>
  <w:style w:type="table" w:default="1" w:styleId="33">
    <w:name w:val="Normal Table"/>
    <w:unhideWhenUsed/>
    <w:qFormat/>
    <w:uiPriority w:val="99"/>
    <w:tblPr>
      <w:tblLayout w:type="fixed"/>
      <w:tblCellMar>
        <w:top w:w="0" w:type="dxa"/>
        <w:left w:w="108" w:type="dxa"/>
        <w:bottom w:w="0" w:type="dxa"/>
        <w:right w:w="108" w:type="dxa"/>
      </w:tblCellMar>
    </w:tblPr>
  </w:style>
  <w:style w:type="paragraph" w:customStyle="1" w:styleId="2">
    <w:name w:val="Default"/>
    <w:next w:val="3"/>
    <w:qFormat/>
    <w:uiPriority w:val="0"/>
    <w:pPr>
      <w:widowControl w:val="0"/>
      <w:autoSpaceDE w:val="0"/>
      <w:autoSpaceDN w:val="0"/>
      <w:adjustRightInd w:val="0"/>
    </w:pPr>
    <w:rPr>
      <w:rFonts w:ascii="华文中宋" w:hAnsi="Calibri" w:eastAsia="华文中宋" w:cs="华文中宋"/>
      <w:color w:val="000000"/>
      <w:sz w:val="24"/>
      <w:szCs w:val="24"/>
      <w:lang w:val="en-US" w:eastAsia="zh-CN" w:bidi="ar-SA"/>
    </w:rPr>
  </w:style>
  <w:style w:type="paragraph" w:customStyle="1" w:styleId="3">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styleId="8">
    <w:name w:val="Body Text First Indent"/>
    <w:basedOn w:val="9"/>
    <w:next w:val="1"/>
    <w:link w:val="76"/>
    <w:unhideWhenUsed/>
    <w:qFormat/>
    <w:uiPriority w:val="0"/>
    <w:pPr>
      <w:ind w:firstLine="420" w:firstLineChars="100"/>
    </w:pPr>
    <w:rPr>
      <w:kern w:val="2"/>
      <w:sz w:val="21"/>
      <w:szCs w:val="24"/>
    </w:rPr>
  </w:style>
  <w:style w:type="paragraph" w:styleId="9">
    <w:name w:val="Body Text"/>
    <w:basedOn w:val="1"/>
    <w:next w:val="8"/>
    <w:link w:val="43"/>
    <w:qFormat/>
    <w:uiPriority w:val="0"/>
    <w:pPr>
      <w:spacing w:after="120"/>
    </w:pPr>
    <w:rPr>
      <w:kern w:val="0"/>
      <w:sz w:val="20"/>
      <w:szCs w:val="20"/>
    </w:rPr>
  </w:style>
  <w:style w:type="paragraph" w:styleId="10">
    <w:name w:val="List Number"/>
    <w:basedOn w:val="1"/>
    <w:qFormat/>
    <w:uiPriority w:val="99"/>
    <w:pPr>
      <w:numPr>
        <w:ilvl w:val="0"/>
        <w:numId w:val="1"/>
      </w:numPr>
      <w:tabs>
        <w:tab w:val="left" w:pos="360"/>
      </w:tabs>
    </w:pPr>
  </w:style>
  <w:style w:type="paragraph" w:styleId="11">
    <w:name w:val="Normal Indent"/>
    <w:basedOn w:val="1"/>
    <w:link w:val="74"/>
    <w:qFormat/>
    <w:uiPriority w:val="0"/>
    <w:pPr>
      <w:ind w:firstLine="420"/>
    </w:pPr>
  </w:style>
  <w:style w:type="paragraph" w:styleId="12">
    <w:name w:val="caption"/>
    <w:basedOn w:val="1"/>
    <w:next w:val="1"/>
    <w:qFormat/>
    <w:uiPriority w:val="99"/>
    <w:pPr>
      <w:spacing w:before="152" w:after="160"/>
    </w:pPr>
    <w:rPr>
      <w:rFonts w:ascii="Arial" w:hAnsi="Arial" w:eastAsia="黑体" w:cs="Arial"/>
    </w:rPr>
  </w:style>
  <w:style w:type="paragraph" w:styleId="13">
    <w:name w:val="toa heading"/>
    <w:basedOn w:val="1"/>
    <w:next w:val="1"/>
    <w:qFormat/>
    <w:uiPriority w:val="99"/>
    <w:pPr>
      <w:spacing w:before="120"/>
    </w:pPr>
    <w:rPr>
      <w:rFonts w:ascii="Arial" w:hAnsi="Arial" w:eastAsia="仿宋_GB2312"/>
      <w:b/>
      <w:color w:val="000000"/>
      <w:kern w:val="0"/>
      <w:sz w:val="24"/>
      <w:szCs w:val="20"/>
    </w:rPr>
  </w:style>
  <w:style w:type="paragraph" w:styleId="14">
    <w:name w:val="annotation text"/>
    <w:basedOn w:val="1"/>
    <w:unhideWhenUsed/>
    <w:qFormat/>
    <w:uiPriority w:val="99"/>
    <w:pPr>
      <w:jc w:val="left"/>
    </w:pPr>
  </w:style>
  <w:style w:type="paragraph" w:styleId="15">
    <w:name w:val="Body Text Indent"/>
    <w:basedOn w:val="1"/>
    <w:link w:val="44"/>
    <w:qFormat/>
    <w:uiPriority w:val="99"/>
    <w:pPr>
      <w:spacing w:line="200" w:lineRule="exact"/>
      <w:ind w:firstLine="301"/>
    </w:pPr>
    <w:rPr>
      <w:rFonts w:ascii="宋体" w:hAnsi="Courier New"/>
      <w:spacing w:val="-4"/>
      <w:kern w:val="0"/>
      <w:sz w:val="18"/>
      <w:szCs w:val="20"/>
    </w:rPr>
  </w:style>
  <w:style w:type="paragraph" w:styleId="16">
    <w:name w:val="Plain Text"/>
    <w:basedOn w:val="1"/>
    <w:link w:val="47"/>
    <w:qFormat/>
    <w:uiPriority w:val="0"/>
    <w:pPr>
      <w:spacing w:beforeLines="50" w:line="400" w:lineRule="exact"/>
    </w:pPr>
    <w:rPr>
      <w:rFonts w:ascii="宋体" w:hAnsi="Courier New"/>
      <w:kern w:val="0"/>
      <w:szCs w:val="21"/>
    </w:rPr>
  </w:style>
  <w:style w:type="paragraph" w:styleId="17">
    <w:name w:val="Date"/>
    <w:basedOn w:val="1"/>
    <w:next w:val="1"/>
    <w:link w:val="67"/>
    <w:unhideWhenUsed/>
    <w:qFormat/>
    <w:uiPriority w:val="99"/>
    <w:pPr>
      <w:ind w:left="100" w:leftChars="2500"/>
    </w:pPr>
  </w:style>
  <w:style w:type="paragraph" w:styleId="18">
    <w:name w:val="Body Text Indent 2"/>
    <w:basedOn w:val="1"/>
    <w:link w:val="48"/>
    <w:qFormat/>
    <w:uiPriority w:val="99"/>
    <w:pPr>
      <w:snapToGrid w:val="0"/>
      <w:ind w:firstLine="542" w:firstLineChars="225"/>
    </w:pPr>
    <w:rPr>
      <w:rFonts w:ascii="仿宋_GB2312" w:hAnsi="宋体"/>
      <w:b/>
      <w:color w:val="000000"/>
      <w:kern w:val="0"/>
      <w:sz w:val="24"/>
      <w:szCs w:val="20"/>
    </w:rPr>
  </w:style>
  <w:style w:type="paragraph" w:styleId="19">
    <w:name w:val="Balloon Text"/>
    <w:basedOn w:val="1"/>
    <w:link w:val="50"/>
    <w:qFormat/>
    <w:uiPriority w:val="99"/>
    <w:rPr>
      <w:kern w:val="0"/>
      <w:sz w:val="18"/>
      <w:szCs w:val="18"/>
    </w:rPr>
  </w:style>
  <w:style w:type="paragraph" w:styleId="20">
    <w:name w:val="footer"/>
    <w:basedOn w:val="1"/>
    <w:link w:val="38"/>
    <w:qFormat/>
    <w:uiPriority w:val="0"/>
    <w:pPr>
      <w:tabs>
        <w:tab w:val="center" w:pos="4153"/>
        <w:tab w:val="right" w:pos="8306"/>
      </w:tabs>
      <w:snapToGrid w:val="0"/>
      <w:jc w:val="left"/>
    </w:pPr>
    <w:rPr>
      <w:rFonts w:ascii="Calibri" w:hAnsi="Calibri"/>
      <w:kern w:val="0"/>
      <w:sz w:val="18"/>
      <w:szCs w:val="18"/>
    </w:rPr>
  </w:style>
  <w:style w:type="paragraph" w:styleId="21">
    <w:name w:val="header"/>
    <w:basedOn w:val="1"/>
    <w:link w:val="37"/>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22">
    <w:name w:val="toc 1"/>
    <w:basedOn w:val="1"/>
    <w:next w:val="1"/>
    <w:qFormat/>
    <w:uiPriority w:val="99"/>
  </w:style>
  <w:style w:type="paragraph" w:styleId="23">
    <w:name w:val="List"/>
    <w:basedOn w:val="1"/>
    <w:unhideWhenUsed/>
    <w:qFormat/>
    <w:uiPriority w:val="99"/>
    <w:pPr>
      <w:ind w:left="200" w:hanging="200" w:hangingChars="200"/>
      <w:contextualSpacing/>
    </w:pPr>
  </w:style>
  <w:style w:type="paragraph" w:styleId="24">
    <w:name w:val="toc 6"/>
    <w:basedOn w:val="1"/>
    <w:next w:val="1"/>
    <w:semiHidden/>
    <w:qFormat/>
    <w:locked/>
    <w:uiPriority w:val="99"/>
    <w:pPr>
      <w:ind w:left="1050"/>
    </w:pPr>
    <w:rPr>
      <w:sz w:val="18"/>
      <w:szCs w:val="18"/>
    </w:rPr>
  </w:style>
  <w:style w:type="paragraph" w:styleId="25">
    <w:name w:val="Body Text Indent 3"/>
    <w:basedOn w:val="1"/>
    <w:link w:val="45"/>
    <w:qFormat/>
    <w:uiPriority w:val="0"/>
    <w:pPr>
      <w:snapToGrid w:val="0"/>
      <w:ind w:firstLine="480" w:firstLineChars="200"/>
      <w:jc w:val="left"/>
    </w:pPr>
    <w:rPr>
      <w:rFonts w:ascii="仿宋_GB2312" w:hAnsi="宋体" w:eastAsia="仿宋_GB2312"/>
      <w:color w:val="000000"/>
      <w:kern w:val="0"/>
      <w:sz w:val="24"/>
      <w:szCs w:val="20"/>
    </w:rPr>
  </w:style>
  <w:style w:type="paragraph" w:styleId="26">
    <w:name w:val="Normal (Web)"/>
    <w:basedOn w:val="1"/>
    <w:qFormat/>
    <w:uiPriority w:val="0"/>
    <w:pPr>
      <w:widowControl/>
      <w:spacing w:before="100" w:beforeAutospacing="1" w:after="100" w:afterAutospacing="1"/>
      <w:jc w:val="left"/>
    </w:pPr>
    <w:rPr>
      <w:rFonts w:ascii="宋体" w:hAnsi="宋体"/>
      <w:kern w:val="0"/>
      <w:sz w:val="24"/>
      <w:szCs w:val="24"/>
    </w:rPr>
  </w:style>
  <w:style w:type="paragraph" w:styleId="27">
    <w:name w:val="Title"/>
    <w:basedOn w:val="1"/>
    <w:link w:val="59"/>
    <w:qFormat/>
    <w:uiPriority w:val="99"/>
    <w:pPr>
      <w:spacing w:before="240" w:after="60" w:line="460" w:lineRule="exact"/>
      <w:jc w:val="center"/>
      <w:outlineLvl w:val="0"/>
    </w:pPr>
    <w:rPr>
      <w:rFonts w:ascii="Arial" w:hAnsi="Arial"/>
      <w:b/>
      <w:spacing w:val="14"/>
      <w:kern w:val="24"/>
      <w:sz w:val="32"/>
      <w:szCs w:val="20"/>
      <w:lang w:val="zh-CN"/>
    </w:rPr>
  </w:style>
  <w:style w:type="character" w:styleId="29">
    <w:name w:val="Strong"/>
    <w:basedOn w:val="28"/>
    <w:qFormat/>
    <w:locked/>
    <w:uiPriority w:val="0"/>
    <w:rPr>
      <w:b/>
      <w:bCs/>
    </w:rPr>
  </w:style>
  <w:style w:type="character" w:styleId="30">
    <w:name w:val="page number"/>
    <w:qFormat/>
    <w:uiPriority w:val="99"/>
    <w:rPr>
      <w:rFonts w:cs="Times New Roman"/>
    </w:rPr>
  </w:style>
  <w:style w:type="character" w:styleId="31">
    <w:name w:val="Hyperlink"/>
    <w:unhideWhenUsed/>
    <w:qFormat/>
    <w:uiPriority w:val="99"/>
    <w:rPr>
      <w:color w:val="0000FF"/>
      <w:u w:val="single"/>
    </w:rPr>
  </w:style>
  <w:style w:type="character" w:styleId="32">
    <w:name w:val="annotation reference"/>
    <w:basedOn w:val="28"/>
    <w:unhideWhenUsed/>
    <w:qFormat/>
    <w:uiPriority w:val="99"/>
    <w:rPr>
      <w:sz w:val="21"/>
      <w:szCs w:val="21"/>
    </w:rPr>
  </w:style>
  <w:style w:type="table" w:styleId="34">
    <w:name w:val="Table Grid"/>
    <w:basedOn w:val="33"/>
    <w:qFormat/>
    <w:locked/>
    <w:uiPriority w:val="0"/>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5">
    <w:name w:val="_Style 3"/>
    <w:basedOn w:val="1"/>
    <w:qFormat/>
    <w:uiPriority w:val="0"/>
    <w:pPr>
      <w:ind w:firstLine="420" w:firstLineChars="200"/>
    </w:pPr>
    <w:rPr>
      <w:rFonts w:eastAsia="仿宋_GB2312"/>
      <w:sz w:val="28"/>
      <w:szCs w:val="24"/>
    </w:rPr>
  </w:style>
  <w:style w:type="character" w:customStyle="1" w:styleId="36">
    <w:name w:val="标题 2 字符"/>
    <w:link w:val="4"/>
    <w:qFormat/>
    <w:locked/>
    <w:uiPriority w:val="99"/>
    <w:rPr>
      <w:rFonts w:ascii="Arial" w:hAnsi="Arial" w:eastAsia="黑体" w:cs="Times New Roman"/>
      <w:b/>
      <w:sz w:val="32"/>
    </w:rPr>
  </w:style>
  <w:style w:type="character" w:customStyle="1" w:styleId="37">
    <w:name w:val="页眉 字符"/>
    <w:link w:val="21"/>
    <w:qFormat/>
    <w:locked/>
    <w:uiPriority w:val="0"/>
    <w:rPr>
      <w:rFonts w:cs="Times New Roman"/>
      <w:sz w:val="18"/>
      <w:szCs w:val="18"/>
    </w:rPr>
  </w:style>
  <w:style w:type="character" w:customStyle="1" w:styleId="38">
    <w:name w:val="页脚 字符"/>
    <w:link w:val="20"/>
    <w:qFormat/>
    <w:locked/>
    <w:uiPriority w:val="0"/>
    <w:rPr>
      <w:rFonts w:cs="Times New Roman"/>
      <w:sz w:val="18"/>
      <w:szCs w:val="18"/>
    </w:rPr>
  </w:style>
  <w:style w:type="character" w:customStyle="1" w:styleId="39">
    <w:name w:val="Plain Text Char"/>
    <w:qFormat/>
    <w:locked/>
    <w:uiPriority w:val="99"/>
    <w:rPr>
      <w:rFonts w:ascii="宋体" w:hAnsi="Courier New"/>
      <w:sz w:val="24"/>
    </w:rPr>
  </w:style>
  <w:style w:type="character" w:customStyle="1" w:styleId="40">
    <w:name w:val="Body Text Char"/>
    <w:qFormat/>
    <w:locked/>
    <w:uiPriority w:val="99"/>
    <w:rPr>
      <w:rFonts w:ascii="Times New Roman" w:hAnsi="Times New Roman"/>
    </w:rPr>
  </w:style>
  <w:style w:type="character" w:customStyle="1" w:styleId="41">
    <w:name w:val="Balloon Text Char"/>
    <w:qFormat/>
    <w:locked/>
    <w:uiPriority w:val="99"/>
    <w:rPr>
      <w:rFonts w:ascii="Times New Roman" w:hAnsi="Times New Roman"/>
      <w:sz w:val="18"/>
    </w:rPr>
  </w:style>
  <w:style w:type="character" w:customStyle="1" w:styleId="42">
    <w:name w:val="Body Text Char1"/>
    <w:semiHidden/>
    <w:qFormat/>
    <w:locked/>
    <w:uiPriority w:val="99"/>
    <w:rPr>
      <w:rFonts w:ascii="Times New Roman" w:hAnsi="Times New Roman" w:cs="Times New Roman"/>
    </w:rPr>
  </w:style>
  <w:style w:type="character" w:customStyle="1" w:styleId="43">
    <w:name w:val="正文文本 字符"/>
    <w:link w:val="9"/>
    <w:semiHidden/>
    <w:qFormat/>
    <w:locked/>
    <w:uiPriority w:val="99"/>
    <w:rPr>
      <w:rFonts w:ascii="Times New Roman" w:hAnsi="Times New Roman" w:eastAsia="宋体" w:cs="Times New Roman"/>
    </w:rPr>
  </w:style>
  <w:style w:type="character" w:customStyle="1" w:styleId="44">
    <w:name w:val="正文文本缩进 字符"/>
    <w:link w:val="15"/>
    <w:qFormat/>
    <w:locked/>
    <w:uiPriority w:val="99"/>
    <w:rPr>
      <w:rFonts w:ascii="宋体" w:hAnsi="Courier New" w:eastAsia="宋体" w:cs="Times New Roman"/>
      <w:spacing w:val="-4"/>
      <w:sz w:val="18"/>
    </w:rPr>
  </w:style>
  <w:style w:type="character" w:customStyle="1" w:styleId="45">
    <w:name w:val="正文文本缩进 3 字符"/>
    <w:link w:val="25"/>
    <w:qFormat/>
    <w:locked/>
    <w:uiPriority w:val="99"/>
    <w:rPr>
      <w:rFonts w:ascii="仿宋_GB2312" w:hAnsi="宋体" w:eastAsia="仿宋_GB2312" w:cs="Times New Roman"/>
      <w:color w:val="000000"/>
      <w:sz w:val="24"/>
    </w:rPr>
  </w:style>
  <w:style w:type="character" w:customStyle="1" w:styleId="46">
    <w:name w:val="Plain Text Char1"/>
    <w:semiHidden/>
    <w:qFormat/>
    <w:locked/>
    <w:uiPriority w:val="99"/>
    <w:rPr>
      <w:rFonts w:ascii="宋体" w:hAnsi="Courier New" w:cs="Courier New"/>
      <w:sz w:val="21"/>
      <w:szCs w:val="21"/>
    </w:rPr>
  </w:style>
  <w:style w:type="character" w:customStyle="1" w:styleId="47">
    <w:name w:val="纯文本 字符"/>
    <w:link w:val="16"/>
    <w:qFormat/>
    <w:locked/>
    <w:uiPriority w:val="0"/>
    <w:rPr>
      <w:rFonts w:ascii="宋体" w:hAnsi="Courier New" w:eastAsia="宋体" w:cs="Courier New"/>
      <w:sz w:val="21"/>
      <w:szCs w:val="21"/>
    </w:rPr>
  </w:style>
  <w:style w:type="character" w:customStyle="1" w:styleId="48">
    <w:name w:val="正文文本缩进 2 字符"/>
    <w:link w:val="18"/>
    <w:qFormat/>
    <w:locked/>
    <w:uiPriority w:val="99"/>
    <w:rPr>
      <w:rFonts w:ascii="仿宋_GB2312" w:hAnsi="宋体" w:eastAsia="宋体" w:cs="Times New Roman"/>
      <w:b/>
      <w:color w:val="000000"/>
      <w:sz w:val="24"/>
    </w:rPr>
  </w:style>
  <w:style w:type="character" w:customStyle="1" w:styleId="49">
    <w:name w:val="Balloon Text Char1"/>
    <w:semiHidden/>
    <w:qFormat/>
    <w:locked/>
    <w:uiPriority w:val="99"/>
    <w:rPr>
      <w:rFonts w:ascii="Times New Roman" w:hAnsi="Times New Roman" w:cs="Times New Roman"/>
      <w:sz w:val="2"/>
    </w:rPr>
  </w:style>
  <w:style w:type="character" w:customStyle="1" w:styleId="50">
    <w:name w:val="批注框文本 字符"/>
    <w:link w:val="19"/>
    <w:semiHidden/>
    <w:qFormat/>
    <w:locked/>
    <w:uiPriority w:val="99"/>
    <w:rPr>
      <w:rFonts w:ascii="Times New Roman" w:hAnsi="Times New Roman" w:eastAsia="宋体" w:cs="Times New Roman"/>
      <w:sz w:val="18"/>
      <w:szCs w:val="18"/>
    </w:rPr>
  </w:style>
  <w:style w:type="paragraph" w:customStyle="1" w:styleId="51">
    <w:name w:val="列表1"/>
    <w:basedOn w:val="1"/>
    <w:qFormat/>
    <w:uiPriority w:val="99"/>
    <w:pPr>
      <w:ind w:left="200" w:hanging="200" w:hangingChars="200"/>
    </w:pPr>
    <w:rPr>
      <w:sz w:val="28"/>
    </w:rPr>
  </w:style>
  <w:style w:type="paragraph" w:customStyle="1" w:styleId="52">
    <w:name w:val="正文文本缩进1"/>
    <w:basedOn w:val="1"/>
    <w:qFormat/>
    <w:uiPriority w:val="99"/>
    <w:pPr>
      <w:spacing w:line="200" w:lineRule="exact"/>
      <w:ind w:firstLine="301"/>
    </w:pPr>
    <w:rPr>
      <w:rFonts w:ascii="Calibri" w:hAnsi="Calibri"/>
      <w:kern w:val="0"/>
      <w:sz w:val="20"/>
    </w:rPr>
  </w:style>
  <w:style w:type="paragraph" w:customStyle="1" w:styleId="53">
    <w:name w:val="纯文本1"/>
    <w:basedOn w:val="54"/>
    <w:qFormat/>
    <w:uiPriority w:val="99"/>
    <w:pPr>
      <w:spacing w:beforeLines="50" w:afterLines="50" w:line="400" w:lineRule="exact"/>
    </w:pPr>
    <w:rPr>
      <w:rFonts w:ascii="宋体" w:hAnsi="Courier New" w:cs="Courier New"/>
      <w:szCs w:val="21"/>
    </w:rPr>
  </w:style>
  <w:style w:type="paragraph" w:customStyle="1" w:styleId="54">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5">
    <w:name w:val="正文缩进1"/>
    <w:basedOn w:val="1"/>
    <w:qFormat/>
    <w:uiPriority w:val="0"/>
    <w:pPr>
      <w:ind w:firstLine="420"/>
    </w:pPr>
  </w:style>
  <w:style w:type="paragraph" w:customStyle="1" w:styleId="56">
    <w:name w:val="书籍标题1"/>
    <w:basedOn w:val="1"/>
    <w:next w:val="1"/>
    <w:qFormat/>
    <w:uiPriority w:val="99"/>
    <w:pPr>
      <w:pageBreakBefore/>
      <w:widowControl/>
      <w:numPr>
        <w:ilvl w:val="0"/>
        <w:numId w:val="2"/>
      </w:numPr>
      <w:tabs>
        <w:tab w:val="left" w:pos="840"/>
      </w:tabs>
      <w:spacing w:beforeLines="200"/>
      <w:jc w:val="center"/>
      <w:outlineLvl w:val="0"/>
    </w:pPr>
    <w:rPr>
      <w:rFonts w:eastAsia="黑体"/>
      <w:b/>
      <w:spacing w:val="20"/>
      <w:kern w:val="44"/>
      <w:sz w:val="44"/>
    </w:rPr>
  </w:style>
  <w:style w:type="paragraph" w:customStyle="1" w:styleId="57">
    <w:name w:val="p15"/>
    <w:basedOn w:val="1"/>
    <w:qFormat/>
    <w:uiPriority w:val="99"/>
    <w:pPr>
      <w:widowControl/>
      <w:spacing w:line="200" w:lineRule="atLeast"/>
      <w:ind w:firstLine="301"/>
    </w:pPr>
    <w:rPr>
      <w:rFonts w:ascii="宋体" w:hAnsi="宋体" w:cs="宋体"/>
      <w:spacing w:val="-4"/>
      <w:kern w:val="0"/>
      <w:sz w:val="18"/>
      <w:szCs w:val="18"/>
    </w:rPr>
  </w:style>
  <w:style w:type="paragraph" w:customStyle="1" w:styleId="58">
    <w:name w:val="日期1"/>
    <w:basedOn w:val="1"/>
    <w:next w:val="1"/>
    <w:qFormat/>
    <w:uiPriority w:val="99"/>
    <w:pPr>
      <w:ind w:left="2500" w:leftChars="2500"/>
    </w:pPr>
    <w:rPr>
      <w:rFonts w:ascii="Calibri" w:hAnsi="Calibri"/>
      <w:kern w:val="0"/>
      <w:sz w:val="20"/>
    </w:rPr>
  </w:style>
  <w:style w:type="character" w:customStyle="1" w:styleId="59">
    <w:name w:val="标题 字符"/>
    <w:link w:val="27"/>
    <w:qFormat/>
    <w:locked/>
    <w:uiPriority w:val="99"/>
    <w:rPr>
      <w:rFonts w:ascii="Arial" w:hAnsi="Arial" w:eastAsia="宋体" w:cs="Times New Roman"/>
      <w:b/>
      <w:spacing w:val="14"/>
      <w:kern w:val="24"/>
      <w:sz w:val="32"/>
      <w:lang w:val="zh-CN"/>
    </w:rPr>
  </w:style>
  <w:style w:type="paragraph" w:customStyle="1" w:styleId="60">
    <w:name w:val="zw1"/>
    <w:basedOn w:val="1"/>
    <w:qFormat/>
    <w:uiPriority w:val="99"/>
    <w:pPr>
      <w:spacing w:line="360" w:lineRule="auto"/>
      <w:ind w:firstLine="560" w:firstLineChars="200"/>
    </w:pPr>
    <w:rPr>
      <w:sz w:val="28"/>
      <w:lang w:val="zh-CN"/>
    </w:rPr>
  </w:style>
  <w:style w:type="paragraph" w:customStyle="1" w:styleId="61">
    <w:name w:val="BZ_小标题1_加粗"/>
    <w:basedOn w:val="1"/>
    <w:qFormat/>
    <w:uiPriority w:val="0"/>
    <w:pPr>
      <w:widowControl/>
      <w:numPr>
        <w:ilvl w:val="0"/>
        <w:numId w:val="3"/>
      </w:numPr>
      <w:spacing w:line="360" w:lineRule="auto"/>
    </w:pPr>
    <w:rPr>
      <w:b/>
      <w:sz w:val="24"/>
      <w:szCs w:val="24"/>
    </w:rPr>
  </w:style>
  <w:style w:type="character" w:customStyle="1" w:styleId="62">
    <w:name w:val="列出段落 字符"/>
    <w:link w:val="63"/>
    <w:qFormat/>
    <w:uiPriority w:val="0"/>
    <w:rPr>
      <w:kern w:val="2"/>
      <w:sz w:val="21"/>
      <w:szCs w:val="22"/>
    </w:rPr>
  </w:style>
  <w:style w:type="paragraph" w:customStyle="1" w:styleId="63">
    <w:name w:val="列出段落1"/>
    <w:basedOn w:val="1"/>
    <w:link w:val="62"/>
    <w:qFormat/>
    <w:uiPriority w:val="0"/>
    <w:pPr>
      <w:widowControl/>
      <w:ind w:firstLine="420" w:firstLineChars="200"/>
    </w:pPr>
    <w:rPr>
      <w:rFonts w:ascii="Calibri" w:hAnsi="Calibri"/>
    </w:rPr>
  </w:style>
  <w:style w:type="paragraph" w:customStyle="1" w:styleId="64">
    <w:name w:val="正文小四"/>
    <w:basedOn w:val="1"/>
    <w:qFormat/>
    <w:uiPriority w:val="0"/>
    <w:pPr>
      <w:spacing w:line="360" w:lineRule="auto"/>
      <w:ind w:firstLine="540" w:firstLineChars="225"/>
      <w:jc w:val="left"/>
    </w:pPr>
    <w:rPr>
      <w:rFonts w:hint="eastAsia" w:ascii="宋体" w:hAnsi="宋体"/>
      <w:color w:val="000000"/>
      <w:sz w:val="24"/>
      <w:szCs w:val="20"/>
    </w:rPr>
  </w:style>
  <w:style w:type="character" w:customStyle="1" w:styleId="65">
    <w:name w:val="标题 3 字符"/>
    <w:link w:val="5"/>
    <w:qFormat/>
    <w:uiPriority w:val="0"/>
    <w:rPr>
      <w:rFonts w:ascii="Times New Roman" w:hAnsi="Times New Roman"/>
      <w:b/>
      <w:bCs/>
      <w:kern w:val="2"/>
      <w:sz w:val="32"/>
      <w:szCs w:val="32"/>
    </w:rPr>
  </w:style>
  <w:style w:type="paragraph" w:customStyle="1" w:styleId="66">
    <w:name w:val="List Paragraph"/>
    <w:basedOn w:val="1"/>
    <w:qFormat/>
    <w:uiPriority w:val="34"/>
    <w:pPr>
      <w:ind w:firstLine="420" w:firstLineChars="200"/>
    </w:pPr>
    <w:rPr>
      <w:rFonts w:asciiTheme="minorHAnsi" w:hAnsiTheme="minorHAnsi" w:eastAsiaTheme="minorEastAsia" w:cstheme="minorBidi"/>
    </w:rPr>
  </w:style>
  <w:style w:type="character" w:customStyle="1" w:styleId="67">
    <w:name w:val="日期 字符"/>
    <w:basedOn w:val="28"/>
    <w:link w:val="17"/>
    <w:semiHidden/>
    <w:qFormat/>
    <w:uiPriority w:val="99"/>
    <w:rPr>
      <w:rFonts w:ascii="Times New Roman" w:hAnsi="Times New Roman"/>
      <w:kern w:val="2"/>
      <w:sz w:val="21"/>
      <w:szCs w:val="22"/>
    </w:rPr>
  </w:style>
  <w:style w:type="paragraph" w:customStyle="1" w:styleId="68">
    <w:name w:val="_Style 55"/>
    <w:basedOn w:val="1"/>
    <w:next w:val="66"/>
    <w:qFormat/>
    <w:uiPriority w:val="0"/>
    <w:pPr>
      <w:ind w:firstLine="420" w:firstLineChars="200"/>
    </w:pPr>
    <w:rPr>
      <w:rFonts w:ascii="Calibri" w:hAnsi="Calibri"/>
    </w:rPr>
  </w:style>
  <w:style w:type="character" w:customStyle="1" w:styleId="69">
    <w:name w:val="标题 4 字符"/>
    <w:basedOn w:val="28"/>
    <w:link w:val="6"/>
    <w:qFormat/>
    <w:uiPriority w:val="9"/>
    <w:rPr>
      <w:rFonts w:asciiTheme="majorHAnsi" w:hAnsiTheme="majorHAnsi" w:eastAsiaTheme="majorEastAsia" w:cstheme="majorBidi"/>
      <w:b/>
      <w:bCs/>
      <w:kern w:val="2"/>
      <w:sz w:val="28"/>
      <w:szCs w:val="28"/>
    </w:rPr>
  </w:style>
  <w:style w:type="paragraph" w:customStyle="1" w:styleId="70">
    <w:name w:val="表格文字"/>
    <w:basedOn w:val="1"/>
    <w:next w:val="9"/>
    <w:qFormat/>
    <w:uiPriority w:val="0"/>
    <w:rPr>
      <w:sz w:val="18"/>
      <w:szCs w:val="18"/>
    </w:rPr>
  </w:style>
  <w:style w:type="paragraph" w:customStyle="1" w:styleId="71">
    <w:name w:val="正文_1_0"/>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72">
    <w:name w:val="正文_4"/>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73">
    <w:name w:val="部分1"/>
    <w:basedOn w:val="1"/>
    <w:qFormat/>
    <w:uiPriority w:val="99"/>
    <w:pPr>
      <w:keepNext/>
      <w:pageBreakBefore/>
      <w:tabs>
        <w:tab w:val="left" w:pos="720"/>
      </w:tabs>
      <w:adjustRightInd w:val="0"/>
      <w:spacing w:line="360" w:lineRule="auto"/>
      <w:jc w:val="center"/>
      <w:outlineLvl w:val="0"/>
    </w:pPr>
    <w:rPr>
      <w:rFonts w:eastAsia="黑体"/>
      <w:b/>
      <w:bCs/>
      <w:kern w:val="44"/>
      <w:sz w:val="36"/>
      <w:szCs w:val="36"/>
    </w:rPr>
  </w:style>
  <w:style w:type="character" w:customStyle="1" w:styleId="74">
    <w:name w:val="正文缩进 字符"/>
    <w:link w:val="11"/>
    <w:qFormat/>
    <w:uiPriority w:val="0"/>
    <w:rPr>
      <w:rFonts w:ascii="Times New Roman" w:hAnsi="Times New Roman"/>
      <w:kern w:val="2"/>
      <w:sz w:val="21"/>
      <w:szCs w:val="22"/>
    </w:rPr>
  </w:style>
  <w:style w:type="character" w:customStyle="1" w:styleId="75">
    <w:name w:val="标题 5 字符"/>
    <w:basedOn w:val="28"/>
    <w:link w:val="7"/>
    <w:semiHidden/>
    <w:qFormat/>
    <w:uiPriority w:val="0"/>
    <w:rPr>
      <w:rFonts w:ascii="Times New Roman" w:hAnsi="Times New Roman"/>
      <w:b/>
      <w:bCs/>
      <w:kern w:val="2"/>
      <w:sz w:val="28"/>
      <w:szCs w:val="28"/>
    </w:rPr>
  </w:style>
  <w:style w:type="character" w:customStyle="1" w:styleId="76">
    <w:name w:val="正文文本首行缩进 字符"/>
    <w:basedOn w:val="43"/>
    <w:link w:val="8"/>
    <w:qFormat/>
    <w:uiPriority w:val="0"/>
    <w:rPr>
      <w:rFonts w:ascii="Times New Roman" w:hAnsi="Times New Roman" w:eastAsia="宋体" w:cs="Times New Roman"/>
      <w:kern w:val="2"/>
      <w:sz w:val="21"/>
      <w:szCs w:val="24"/>
    </w:rPr>
  </w:style>
  <w:style w:type="character" w:customStyle="1" w:styleId="77">
    <w:name w:val="纯文本 字符1"/>
    <w:qFormat/>
    <w:uiPriority w:val="0"/>
    <w:rPr>
      <w:rFonts w:ascii="宋体" w:hAnsi="Courier New" w:eastAsia="宋体" w:cs="Arial"/>
      <w:snapToGrid w:val="0"/>
      <w:kern w:val="2"/>
      <w:sz w:val="21"/>
      <w:szCs w:val="21"/>
      <w:lang w:val="en-US" w:eastAsia="zh-CN" w:bidi="ar-SA"/>
    </w:rPr>
  </w:style>
  <w:style w:type="paragraph" w:customStyle="1" w:styleId="78">
    <w:name w:val="索引 11"/>
    <w:basedOn w:val="1"/>
    <w:next w:val="1"/>
    <w:qFormat/>
    <w:uiPriority w:val="99"/>
    <w:pPr>
      <w:spacing w:line="360" w:lineRule="auto"/>
    </w:pPr>
    <w:rPr>
      <w:rFonts w:ascii="仿宋_GB2312" w:eastAsia="仿宋_GB2312"/>
      <w:sz w:val="24"/>
      <w:szCs w:val="20"/>
    </w:rPr>
  </w:style>
  <w:style w:type="paragraph" w:customStyle="1" w:styleId="79">
    <w:name w:val="List Paragraph2"/>
    <w:basedOn w:val="1"/>
    <w:qFormat/>
    <w:uiPriority w:val="99"/>
    <w:pPr>
      <w:spacing w:line="360" w:lineRule="auto"/>
      <w:ind w:firstLine="420" w:firstLineChars="200"/>
    </w:pPr>
    <w:rPr>
      <w:sz w:val="24"/>
    </w:rPr>
  </w:style>
  <w:style w:type="character" w:customStyle="1" w:styleId="80">
    <w:name w:val="font01"/>
    <w:basedOn w:val="28"/>
    <w:qFormat/>
    <w:uiPriority w:val="0"/>
    <w:rPr>
      <w:rFonts w:hint="eastAsia" w:ascii="宋体" w:hAnsi="宋体" w:eastAsia="宋体" w:cs="宋体"/>
      <w:color w:val="000000"/>
      <w:sz w:val="20"/>
      <w:szCs w:val="20"/>
      <w:u w:val="none"/>
    </w:rPr>
  </w:style>
  <w:style w:type="character" w:customStyle="1" w:styleId="81">
    <w:name w:val="font51"/>
    <w:basedOn w:val="28"/>
    <w:qFormat/>
    <w:uiPriority w:val="0"/>
    <w:rPr>
      <w:rFonts w:hint="eastAsia" w:ascii="宋体" w:hAnsi="宋体" w:eastAsia="宋体" w:cs="宋体"/>
      <w:color w:val="000000"/>
      <w:sz w:val="22"/>
      <w:szCs w:val="22"/>
      <w:u w:val="none"/>
    </w:rPr>
  </w:style>
  <w:style w:type="character" w:customStyle="1" w:styleId="82">
    <w:name w:val="font31"/>
    <w:basedOn w:val="28"/>
    <w:qFormat/>
    <w:uiPriority w:val="0"/>
    <w:rPr>
      <w:rFonts w:hint="eastAsia" w:ascii="宋体" w:hAnsi="宋体" w:eastAsia="宋体" w:cs="宋体"/>
      <w:color w:val="000000"/>
      <w:sz w:val="24"/>
      <w:szCs w:val="24"/>
      <w:u w:val="none"/>
    </w:rPr>
  </w:style>
  <w:style w:type="character" w:customStyle="1" w:styleId="83">
    <w:name w:val="font21"/>
    <w:basedOn w:val="28"/>
    <w:qFormat/>
    <w:uiPriority w:val="0"/>
    <w:rPr>
      <w:rFonts w:hint="eastAsia" w:ascii="宋体" w:hAnsi="宋体" w:eastAsia="宋体" w:cs="宋体"/>
      <w:color w:val="000000"/>
      <w:sz w:val="18"/>
      <w:szCs w:val="18"/>
      <w:u w:val="none"/>
    </w:rPr>
  </w:style>
  <w:style w:type="paragraph" w:customStyle="1" w:styleId="84">
    <w:name w:val="修订1"/>
    <w:hidden/>
    <w:semiHidden/>
    <w:qFormat/>
    <w:uiPriority w:val="99"/>
    <w:rPr>
      <w:rFonts w:ascii="Times New Roman" w:hAnsi="Times New Roman" w:eastAsia="宋体" w:cs="Times New Roman"/>
      <w:kern w:val="2"/>
      <w:sz w:val="21"/>
      <w:szCs w:val="22"/>
      <w:lang w:val="en-US" w:eastAsia="zh-CN" w:bidi="ar-SA"/>
    </w:rPr>
  </w:style>
  <w:style w:type="character" w:customStyle="1" w:styleId="85">
    <w:name w:val="Unresolved Mention"/>
    <w:basedOn w:val="28"/>
    <w:unhideWhenUsed/>
    <w:qFormat/>
    <w:uiPriority w:val="99"/>
    <w:rPr>
      <w:color w:val="605E5C"/>
      <w:shd w:val="clear" w:color="auto" w:fill="E1DFDD"/>
    </w:rPr>
  </w:style>
  <w:style w:type="paragraph" w:customStyle="1" w:styleId="86">
    <w:name w:val="Body text|1"/>
    <w:basedOn w:val="1"/>
    <w:qFormat/>
    <w:uiPriority w:val="0"/>
    <w:pPr>
      <w:spacing w:line="458" w:lineRule="auto"/>
      <w:ind w:firstLine="400"/>
    </w:pPr>
    <w:rPr>
      <w:rFonts w:ascii="宋体" w:hAnsi="宋体" w:eastAsia="宋体" w:cs="宋体"/>
      <w:sz w:val="26"/>
      <w:szCs w:val="26"/>
      <w:lang w:val="zh-TW" w:eastAsia="zh-TW" w:bidi="zh-TW"/>
    </w:rPr>
  </w:style>
  <w:style w:type="paragraph" w:customStyle="1" w:styleId="87">
    <w:name w:val="正文文本缩进11"/>
    <w:basedOn w:val="1"/>
    <w:qFormat/>
    <w:uiPriority w:val="0"/>
    <w:pPr>
      <w:spacing w:line="200" w:lineRule="exact"/>
      <w:ind w:firstLine="301"/>
    </w:pPr>
    <w:rPr>
      <w:szCs w:val="20"/>
    </w:rPr>
  </w:style>
  <w:style w:type="paragraph" w:customStyle="1" w:styleId="88">
    <w:name w:val="cjk"/>
    <w:basedOn w:val="1"/>
    <w:qFormat/>
    <w:uiPriority w:val="0"/>
    <w:pPr>
      <w:jc w:val="left"/>
    </w:pPr>
    <w:rPr>
      <w:rFonts w:ascii="宋体" w:hAnsi="宋体" w:eastAsia="宋体" w:cs="Times New Roman"/>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comments" Target="comment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nbhy</Company>
  <Pages>50</Pages>
  <Words>23356</Words>
  <Characters>24038</Characters>
  <Lines>278</Lines>
  <Paragraphs>78</Paragraphs>
  <TotalTime>0</TotalTime>
  <ScaleCrop>false</ScaleCrop>
  <LinksUpToDate>false</LinksUpToDate>
  <CharactersWithSpaces>25306</CharactersWithSpaces>
  <Application>WPS Office_10.1.0.5842_F1E327BC-269C-435d-A152-05C5408002CA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2023-06-06T08:58:00Z</dcterms:created>
  <dc:creator>huang</dc:creator>
  <cp:lastModifiedBy>yang</cp:lastModifiedBy>
  <cp:lastPrinted>2025-04-25T09:02:00Z</cp:lastPrinted>
  <dcterms:modified xsi:type="dcterms:W3CDTF">2025-05-30T03:56:01Z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2052-10.1.0.5842</vt:lpwstr>
  </property>
  <property fmtid="{D5CDD505-2E9C-101B-9397-08002B2CF9AE}" pid="3" name="ICV">
    <vt:lpwstr>D7B5DC3DDDDB406C9924AAC550DB3572_13</vt:lpwstr>
  </property>
  <property fmtid="{D5CDD505-2E9C-101B-9397-08002B2CF9AE}" pid="4" name="KSOTemplateDocerSaveRecord">
    <vt:lpwstr>eyJoZGlkIjoiMDRmNjA3Njc0OGU5OWUwNzNlMmE3MDljNTdmNTU2MjUifQ==</vt:lpwstr>
  </property>
</Properties>
</file>